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7a59204e584c2d" /><Relationship Type="http://schemas.openxmlformats.org/package/2006/relationships/metadata/core-properties" Target="/package/services/metadata/core-properties/0a54c7790da64f5ab72ebd8ac5198520.psmdcp" Id="Rd358a7f053e940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Audiovisuele manipulatie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bijzonder effectieve manipulatietechniek van de gevestigde media vindt plaats op audiovisueel niveau. Audiovisueel betekent: informatie door woord en beeld doorgeven om het horen en zien van anderen aan te spreken. Filmmateriaal wordt bv. door een manipulatietechniek gemonteerd of een belangrijke context bij de opnamen wordt verzwegen.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belangrijke aflevering van Tagesschau werden bijvoorbeeld Russische opnamen van dronen ingelast, die het konvooi moeten laten zien. De presentator zegt daarbij: “Rusland wijst iedere verantwoording af. De Russische staatstelevisie heeft echter opnamen van dronen van het ministerie van defensie gepubliceerd die het konvooi  laten zien.” Deze opnames worden zo voorgesteld als indirecte aanwijzing dat Rusland verantwoordelijk zou zijn voor de aanval. Daarbij werd door SRF verzwegen, dat Rusland deze beelden enkel publiceerde om te laten zien dat in de buurt van het aangevallen hulpkonvooi bewapende rebellengroepen waren. Een verdere audiovisuele manipulatietechniek is het inzetten van subtiele achtergrondmuziek bij opnames. De SRF liet bij inlassingen van Poetin of Assad, sombere, akelige muziek horen. Zodoende wordt het beeld van de Russische of Syrische president bij het publiek doelgericht verbonden met een onheilspellend, negatief gevoel.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SRF-Propaganda-Analyse 2016, S. 12-14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Audiovisuele manipulatie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Audiovisuele manipulatie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