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77c36323aa4f9d" /><Relationship Type="http://schemas.openxmlformats.org/package/2006/relationships/metadata/core-properties" Target="/package/services/metadata/core-properties/833310e098f94f0e803782d6d53ca3b3.psmdcp" Id="R3aa5fc1d4df746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changement climatique et le CO2 sont-ils seulement un prétexte pour une taxe exceptionnelle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changement climatique et l’hypothèse du CO2 sont-ils seulement un prétexte pour une taxe exceptionnelle ? L’air se compose d’un mélange de 21% d’oxygène, 78% d’azote et environ 1% d’argon, qui est un gaz rare. Le dioxyde de carbone appelé CO2 a seulement une concentration de 0,038% dans l’air.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changement climatique et l’hypothèse du CO2 sont-ils seulement un prétexte pour une taxe exceptionnelle ? L’air se compose d’un mélange de 21% d’oxygène, 78% d’azote et environ 1% d’argon, qui est un gaz rare. Le dioxyde de carbone appelé CO2 a seulement une concentration de 0,038% dans l’air. La nature elle-même produit 96% de ce CO2 par des éruptions volcaniques, des incendies de forêts, des processus de décomposition, etc. Les 4% restants sont provoqués par l’homme. Dans le mélange de notre air cela ne représente effectivement que 0,00152%. Selon le météorologue Wolfgang Thüne, on a créé avec ce qu’on appelle l’hypothèse du CO2 une idéologie sans alternative qui ne doit pas être remise en question. Cette hypothèse prétend que le dioxyde de carbone nuit au climat et représente le moteur du changement climatique. Il est légitime de la remettre en question, tout comme l’ont fait plus de 100 scientifiques dans le monde entier, qui ont exprimé leurs doutes en décembre 2007 dans une lettre ouverte au secrétaire général des Nations Unies. Mais ces arguments concluants contre le CO2 ont été totalement ignorés ou présentés comme non valables. Si on considère que cette hypothèse du CO2 signifie – rien que pour l’Allemagne – des coûts d’environ 50 milliards d’euros par an pour les consommateurs au travers de taxes et de charges indirectes, on devine facilement que ce ne sont que des intérêts économiques qui se cachent derrière.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http://www.youtube.com/watch?v=kfcaNIW16G8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2">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changement climatique et le CO2 sont-ils seulement un prétexte pour une taxe exceptionnelle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kfcaNIW16G8" TargetMode="External" Id="rId21" /><Relationship Type="http://schemas.openxmlformats.org/officeDocument/2006/relationships/hyperlink" Target="https://www.kla.tv/ChangementClimat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changement climatique et le CO2 sont-ils seulement un prétexte pour une taxe exceptionnelle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