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e645298d204484" /><Relationship Type="http://schemas.openxmlformats.org/package/2006/relationships/metadata/core-properties" Target="/package/services/metadata/core-properties/06116b3f4c8f4259b9cbe32b6e93250e.psmdcp" Id="R8c2f7eac4e2f4b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Verwarmen met hout: brengt dat te weinig staatsinkomsten?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Verwarmen met hout: brengt dat te weinig staatsinkomsten?
Houtkachels bieden sinds jaren niet alleen een alternatief voor olie- gas- of elektrische verwarming, maar zijn ook uitdrukking van een levensstijl. Brandhout en houtpellets zijn CO2 neutraal en gunstig als inheemse energiebron, omdat ze niet onderhevig zijn aan belasting.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Verwarmen met hout: brengt dat te weinig staatsinkomsten?</w:t>
        <w:br/>
        <w:t xml:space="preserve">Houtkachels bieden sinds jaren niet alleen een alternatief voor olie- gas- of elektrische verwarming, maar zijn ook uitdrukking van een levensstijl. Brandhout en houtpellets zijn CO2 neutraal en gunstig als inheemse energiebron, omdat ze niet onderhevig zijn aan belasting. Dit is een reden voor veel huishoudens om een hout/kolenkachel te gebruiken als hoofd- of bijverwarming als onafhankelijke warmtebron en als kook- en bakgelegenheid voor in tijden van nood. </w:t>
        <w:br/>
        <w:t xml:space="preserve">Maar vanwege nieuwe wettelijke bepalingen voor fijnstof moeten deze kachels, en dan speciaal in privéhuishoudens, worden beperkt of onmogelijk gemaakt. De nieuwe, wettelijke bepalingen, voorlopig voor Duitsland, maar verwacht in België en Nederland, voorzien om de uitstoot van fijnstof voor kachels, stapsgewijs te begrenzen tot 0,04 gram per kubieke meter rook tot in 2024. Het achteraf uitrusten met filters zal voor veel verwarmingsinstallaties economisch niet lonen. Gaat het hier echt om fijnstof ... of zijn zelfvoorzienende warmtebronnen principieel ongewenst omdat ze o.a. te weinig geld in de belastingkas brengen?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cam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Verwarmen met hout: brengt dat te weinig staatsinkomsten?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www.kla.tv/10176</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22.03.2017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176"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1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Verwarmen met hout: brengt dat te weinig staatsinkomsten?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