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4851853b0b4bb8" /><Relationship Type="http://schemas.openxmlformats.org/package/2006/relationships/metadata/core-properties" Target="/package/services/metadata/core-properties/d3827886063b4c2e924d900f07e50224.psmdcp" Id="R79f4cf95327d46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Verkommt Deutschland  zum Riesenbordell?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 2002 wurde Prostitution in Deutschland komplett legalisiert...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2002 wurde Pros- titution in Deutschland komplett legalisiert. Doch die Lebenslage der Prostituierten hat sich nicht verbessert, denn lediglich ein Prozent aller Prostituierten hat einen richtigen Arbeitsvertrag mit Sozialver- sicherung. Das Resultat ist viel- mehr, dass Deutschland allmäh- lich zu einem Riesenbordell verkommt. Der Prostitution sind keine Grenzen gesetzt. Man verkauft sich billig  und steuerfrei und der Andrang aus anderen Län- dern, das Gewerbe auszuüben,</w:t>
        <w:br/>
        <w:t xml:space="preserve">ist groß. Viele Frauen  erhoffen sich ein besseres Leben, landen dann aber aus Not auf dem Strich. Die deutsche Politik verhält sich angesichts dieser menschenverachtenden Entwicklung gleichgültig, weil offenbar nur marktwirtschaft- liche Interessen zählen. Hauptsache der Rubel rollt? Nun, der rollt ja wirklich ... nur leider in die falschen Taschen!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"Ich kann Unrecht nicht ertragen“, Interview mit Lea Ackermann in fiftfifty 02/2012( Obdachlosenzeitung, die im Ruhrgebiet erscheint)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Verkommt Deutschland  zum Riesenbordell?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Verkommt Deutschland  zum Riesenbordell?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