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782026b1d04c2d" /><Relationship Type="http://schemas.openxmlformats.org/package/2006/relationships/metadata/core-properties" Target="/package/services/metadata/core-properties/7184b4111fcb41e38caa2c8c4ad061a1.psmdcp" Id="R39f3e3dafb444bb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Strigat zadarnic</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Prin „Coaliția opriți războiul”, au avut loc în 15 februarie 2003 cele mai mari demonstrații ale tuturor timpurilor – dar strigătul popoarelor nu a fost niciodată ascultat.
Cândva, mass-media nu a mai putut trece sub tăcere marile demonstrații din toată lumea. Dar în loc de a se comporta conform eticii profesionale, punând în faţă guvernelor neascultătoare strigătul categoric al popoarelor  şi insistând hotărât ca aceste guverne să aplice ascultarea, presa de senzaţie a înăbuşit această energie peste noapte. Astfel, programul TV a trecut subit la prezentarea războiului din Iran, care a fost pornit împotriva tuturor protestelor.
Deci s-a trecut la cinema şi presă de senzaţie, în loc de a reflecta prin intermediul mass-media valul din ce în ce mai mare de proteste. De aceea nu s-a prevenit sau întrerupt imediat războiul plănuit şi declanşat în mod sfidător. 
Astfel au avut acum posibilitatea părţi ale naţiilor lipsite de scrupule să consume acasă, în oaza lor de siguranţă, cu cipsuri şi bere în mână, bombardamentele din Irak … aşa a urmat fără nicio restricţie un război după altul … Kla.TV aminteşte de aceea amploarea în care ordinele zadarnice ale popoarelor către politicienii lor, cu precădere elitei angloamericane: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Content Text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Strigat zadarnic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www.kla.tv/10357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21.04.2017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5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Strigat zadarnic</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