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58104694914603" /><Relationship Type="http://schemas.openxmlformats.org/package/2006/relationships/metadata/core-properties" Target="/package/services/metadata/core-properties/f772dcd324714560b6d0073ef64e8eea.psmdcp" Id="R9dc8e69301484d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besetzte 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66 Jahren stehen in Deutschland fremde Truppen, nutzen unser Land [...] als Plattform für militärische Interventionen auf der ganzen Welt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66 Jahren stehen in</w:t>
        <w:br/>
        <w:t xml:space="preserve">Deutschland fremde Truppen,</w:t>
        <w:br/>
        <w:t xml:space="preserve">nutzen unser Land [...] als</w:t>
        <w:br/>
        <w:t xml:space="preserve">Plattform für militärische Interventionen</w:t>
        <w:br/>
        <w:t xml:space="preserve">auf der ganzen</w:t>
        <w:br/>
        <w:t xml:space="preserve">Welt, wie lange noch? Angesichts</w:t>
        <w:br/>
        <w:t xml:space="preserve">des geballten Machtfaktors</w:t>
        <w:br/>
        <w:t xml:space="preserve">fremder Militärpräsenz</w:t>
        <w:br/>
        <w:t xml:space="preserve">ist es unerheblich, ob man</w:t>
        <w:br/>
        <w:t xml:space="preserve">nun [...] lieber „fremde Truppen“</w:t>
        <w:br/>
        <w:t xml:space="preserve">statt „Besatzungstruppen“</w:t>
        <w:br/>
        <w:t xml:space="preserve">sagt. An der Tatsache ändert</w:t>
        <w:br/>
        <w:t xml:space="preserve">die Wortwahl gar nichts.</w:t>
        <w:br/>
        <w:t xml:space="preserve">Wenn allerdings von „USTruppenpersonal“</w:t>
        <w:br/>
        <w:t xml:space="preserve">oder gar</w:t>
        <w:br/>
        <w:t xml:space="preserve">von „unseren Freunden“ gesprochen</w:t>
        <w:br/>
        <w:t xml:space="preserve">wird, als ginge es um</w:t>
        <w:br/>
        <w:t xml:space="preserve">Theaterpersonal und Kaffeekränzchen,</w:t>
        <w:br/>
        <w:t xml:space="preserve">dann schlägt der</w:t>
        <w:br/>
        <w:t xml:space="preserve">Selbstbetrug Kapriolen.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Compact, Unabhängiges Monatsmagazin, Ausgabe 2 /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besetzte 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besetzte 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