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842edbbffc545df" /><Relationship Type="http://schemas.openxmlformats.org/package/2006/relationships/metadata/core-properties" Target="/package/services/metadata/core-properties/58aea25cb5d84323984b873e22c787a4.psmdcp" Id="R42e9b37248a74d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Declararea jocurilor de computer drept „bunuri culturale” asigură venituri de miliarde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începutul lunii mai 2015 a avut loc în Köln expoziția de jocuri de computer, „gamescom”. Pentru prima dată, Consiliul Cultural German a fost partenerul oficial al acestei expoziții.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începutul lunii mai 2015 a avut loc în Köln expoziția de jocuri de computer, „gamescom”. Pentru prima dată, Consiliul Cultural German a fost partenerul oficial al acestei expoziții. Deja din 2009, Guvernul Federal a promovat jocurile de computer, la cererea Consiliului Cultural, cu propunerea ca acestea să fie luate în categoria „bunuri culturale”. Președintele Consiliului Cultural German, Olaf Zimmermann, a afirmat că bunurile culturale savurează o protecție specială prin Constituție, deoarece arta are o valoare mare din punct de vedere constituțional. Așa au ajuns jocurile de computer sub libertatea artei. De fapt nu este vorba despre evaluarea etică a jocurilor, ci despre punerea în siguranţă a inovațiilor și libertății inventatorului. Industria jocurilor de computere a avut în anul 2014 venituri de peste 2,6 miliarde de euro. Spre comparaţie: în cadrul industriei de muzică s-au câștigat numai 1,5 miliarde de euro în același an. Esta evident că insistenţa ca jocurile de computer să fie clasificate sub „libertatea artei” este un pretext rafinat de a maximaliza câștigurile. Aceasta se întâmplă cu prețul degradării psihice a consumatorilor, care sunt în majoritate tinerii, care sunt supuşi unei lumi virtuale din ce în ce mai brutale şi lipsite de scrupule.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ag./mh.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www.deutschlandfunk.de/gamescom-computerspiele-alskulturgut.807.de.html?dram:article_id=327438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www.kulturrat.de/detail.php?detail=1630&amp;rubrik=72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Declararea jocurilor de computer drept „bunuri culturale” asigură venituri de miliarde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www.kla.tv/10955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18.08.2017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utschlandfunk.de/gamescom-computerspiele-alskulturgut.807.de.html?dram:article_id=327438" TargetMode="External" Id="rId21" /><Relationship Type="http://schemas.openxmlformats.org/officeDocument/2006/relationships/hyperlink" Target="https://www.kulturrat.de/detail.php?detail=1630&amp;rubrik=72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95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9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Declararea jocurilor de computer drept „bunuri culturale” asigură venituri de miliarde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