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f81767c8ab4547" /><Relationship Type="http://schemas.openxmlformats.org/package/2006/relationships/metadata/core-properties" Target="/package/services/metadata/core-properties/4d3145d00e264e8084b2093eed1820d1.psmdcp" Id="Rdfefb00e69934a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Emmanuel Macron – President van de geldaristocratie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succesverhaal van Emmanuel Macron, de nieuwe president van Frankrijk, toont welke macht de geldaristocratie heeft bij de vorming van politici. Zijn carrière spreekt boekdelen. Op 31 jaar werd hij beleggingsbankier bij de Parijse
beleggingsbank  Rotschild &amp;amp; Co.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succesverhaal van Emmanuel Macron, de nieuwe president van Frankrijk, toont welke macht de geldaristocratie heeft bij de vorming van politici. Zijn carrière spreekt boekdelen. Op 31 jaar werd hij beleggingsbankier bij de Parijse</w:t>
        <w:br/>
        <w:t xml:space="preserve">beleggingsbank  Rotschild &amp; Co. In 2012 begeleidde Macron één van de grootste overnames voor de Rotschild Bank: het aandeel van babyvoeding van het Amerikaanse farmaceutische concern Pfizer, ging voor 11,9 miljard dollar naar het voedingsmiddelenconcern Nestlé. Dat leverde hem een partnerschap met Rotschild op. Toen hij te gast was op de Bilderbergerconferentie in Kopenhagen op 31 mei 2014, werd de koers voor zijn politieke promotie uitgezet. Al in augustus dat jaar werd hij onder president Hollande benoemd tot minister van economische zaken. </w:t>
        <w:br/>
        <w:t xml:space="preserve">Zo werd Macron gepromoot tot nieuwe president, door de macht van de geldaristocratie en onder massale invloed van alle Europese media. Dat laat zien hoe gemakkelijk de bevolking te manipuleren is. Hoe kan een president, die tot aan zijn politieke carrière alleen de voordelen van de geldaristocratie en de grote concerns heeft gekend, nu de belangen van de burger vertegenwoordigen?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www.macht-steuert-wissen.de/2170/frankreich-wahl-macrons-geheimnis-eine-marionette-der-rothschilds/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2">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Emmanuel Macron – President van de geldaristocratie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www.kla.tv/11077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cht-steuert-wissen.de/2170/frankreich-wahl-macrons-geheimnis-eine-marionette-der-rothschilds/" TargetMode="External" Id="rId21" /><Relationship Type="http://schemas.openxmlformats.org/officeDocument/2006/relationships/hyperlink" Target="https://www.kla.tv/Financ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7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Emmanuel Macron – President van de geldaristocratie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