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8e8a3cc6f9429d" /><Relationship Type="http://schemas.openxmlformats.org/package/2006/relationships/metadata/core-properties" Target="/package/services/metadata/core-properties/b6fb237763584cbab2d4d017579e0ef2.psmdcp" Id="Re8b20eb0ede84c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Akıllı telefonlar nakit paranın yerini almaktadır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Gittikçe akıllı telefonlara yüklenen uygulamalar sayesinde  bütün ödemelerin yapilabilmesi  amacıyla, cep telefon  ve kredi karti şirketleri iş birliği yapmaktadırlar.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Gittikçe akıllı telefonlara yüklenen uygulamalar sayesinde  bütün ödemelerin yapilabilmesi  amacıyla, cep telefon  ve kredi karti şirketleri iş birliği yapmaktadırlar.</w:t>
        <w:br/>
        <w:t xml:space="preserve">Hatta Almanya da, tren yolları ve otobüs hizmetleri akıllı telefonlarla ödeme imkanı sunmaktadır.</w:t>
        <w:br/>
        <w:t xml:space="preserve">Alman finans hizmetleri  ve bütün kredi hizmetleri ofisi, sadece kendilerine göre daha emniyetli kıldıkları uygulamanın akıllı telefonların sayesine oluşmasını önerdi.</w:t>
        <w:br/>
        <w:t xml:space="preserve">Ve gelecek aşamada, banka havaleleri ve ödemeleri ancak akıllı telefonlar sayesinde mümkünleştirilecektir .</w:t>
        <w:br/>
        <w:t xml:space="preserve">Bu arada, akıllı telefonlara sahip olmayan vatandaşlar için nasıl olacak?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uw'dan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http://www.tariftip.de/News/29814/Touch-and-Travel-Bahn-Fahrkarte-mit-dem-Handy-bezahlen.html</w:t>
        </w:r>
      </w:hyperlink>
      <w:r w:rsidR="0026191C">
        <w:rPr/>
        <w:br/>
      </w:r>
      <w:r w:rsidR="0026191C">
        <w:rPr/>
        <w:br/>
      </w:r>
      <w:r w:rsidRPr="002B28C8">
        <w:t xml:space="preserve">Kundenanschreiben der Sparda-Bank vom 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Akıllı telefonlar nakit paranın yerini almaktadır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www.kla.tv/11102</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riftip.de/News/29814/Touch-and-Travel-Bahn-Fahrkarte-mit-dem-Handy-bezahl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Akıllı telefonlar nakit paranın yerini almaktadır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