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dff95e828640c6" /><Relationship Type="http://schemas.openxmlformats.org/package/2006/relationships/metadata/core-properties" Target="/package/services/metadata/core-properties/fe9f8bc9e2994fdf8809250cc037cc81.psmdcp" Id="R25553284552849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Cât de mult sens are vaccinul antitetanos?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Astăzi, în caz de leziuni ale pielii, medicii verifică stadiul vaccinării împotriva tetanosului, deci a trismusului. Se pare că numărul crescut al titrului de anticorpi pentru protecția împotriva tetanosului nu este relevant. Cu toate acestea, statisticile arată că marile progrese în lupta împotriva tetanosului s-au realizat numai printr-o igienă mai bună și curățare temeinică a rănilor.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Stimați telespectatori, ne aflăm în fața Institutului Robert Koch din Berlin și ne preocupă întrebarea: Cât de mult sens are vaccinul antitetanos? Astăzi, în caz de leziuni ale pielii, medicii verifică stadiul vaccinării împotriva tetanosului, deci a trismusului. Aici, autoritățile sanitare acceptă doar un criteriu de protecție: un număr suficient de mare de titru de anticorpi. Aceasta indică numărul de anticorpi în sânge. Dar publicații ale Institutului Robert Koch și ale Instituției Apărării Antiepidemice Germane documentează că, în ciuda titrurilor mari de anticorpi, au existat mai multe cazuri de tetanos. Pe de altă parte, studiile arată că în Germania 50% din populație are un număr mic de titru de anticorpi și totuși anual se îmbolnăvesc foarte puțini de tetanos. Se pare că numărul crescut al titrului de anticorpi pentru protecția împotriva tetanosului nu este relevant. Cu toate acestea, statisticile arată că marile progrese în lupta împotriva tetanosului s-au realizat numai printr-o igienă mai bună și curățare temeinică a rănilor. Ziarul informativ al Institutului  Robert Koch (IRK) descrie bacteriile de tetanos ca fiind sensibile la lumină și oxigen. Acest lucru înseamnă că rănile superficiale, expuse la lumină și aer, nu sunt în pericol de infectare cu tetanos**. Chiar și în cazul rănilor mai profunde, care sângerează tare, după opinia Institutului Robert Koch (IRK) nu este vreun pericol, deoarece sângele cu oxigen distruge bacteriile de tetanos. În țările cu un standard înalt de igienă, această boală aproape că nu mai există. Statistica următoare confirmă acestea: În ultimii 30 de ani nu a murit niciun copil de tetanos în Germania, cu toate că 315.000 dintre aceștia nu au fost vaccinați. Anual se îmbolnăvesc de tetanos mai puțin de 20 de oameni, dintre care doar 5 decedează. Aceasta arată că există factori importanți, cum ar fi standardele de igienă, care împiedică o îmbolnăvire cu tetanos, chiar și fără vaccinare. Dr. Johann Loibner, medic și specialist în domeniul vaccinurilor, afirmă: „Naturalistul și filosoful Sir Alfred Russel Wallace a declarat deja în secolul al 19-lea că vaccinurile sunt o încălcare a drepturilor personale. Prin urmare, o vaccinare obligatorie este ceva dictatorial, totalitar, care într-o eră modernă a drepturilor omului nu-și mai are locul”. Răspândiți aceste informații și ajutați prin a trezi în oameni conștiința că o vaccinare obligatorie este o încălcare gravă a drepturilor personale.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büp./ar.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http://www.impfkritik.de/tetanus</w:t>
        </w:r>
      </w:hyperlink>
      <w:r w:rsidR="0026191C">
        <w:rPr/>
        <w:br/>
      </w:r>
      <w:r w:rsidRPr="002B28C8">
        <w:t xml:space="preserve">Grafik in "impf-report", Ausgabe Nr. 66/67,Mai/Juni 2010, S. 9 Impf-report Ausgabe Nr. 70/71, Sept/.Okt. 2010, „Die Tetanus- Lüge, Teil 4“, Seite 5 ff </w:t>
        <w:rPr>
          <w:sz w:val="18"/>
        </w:rPr>
      </w:r>
      <w:hyperlink w:history="true" r:id="rId22">
        <w:r w:rsidRPr="00F24C6F">
          <w:rPr>
            <w:rStyle w:val="Hyperlink"/>
          </w:rPr>
          <w:rPr>
            <w:sz w:val="18"/>
          </w:rPr>
          <w:t>http://www.pei.de/DE/home/de-node.html</w:t>
        </w:r>
      </w:hyperlink>
      <w:r w:rsidR="0026191C">
        <w:rPr/>
        <w:br/>
      </w:r>
      <w:r w:rsidRPr="002B28C8">
        <w:t xml:space="preserve">Arthur Nicolaier: Beiträge zur Ätiologie des Wundstarrkrampfs, Göttingen 1885, S. 7 </w:t>
        <w:rPr>
          <w:sz w:val="18"/>
        </w:rPr>
      </w:r>
      <w:hyperlink w:history="true" r:id="rId23">
        <w:r w:rsidRPr="00F24C6F">
          <w:rPr>
            <w:rStyle w:val="Hyperlink"/>
          </w:rPr>
          <w:rPr>
            <w:sz w:val="18"/>
          </w:rPr>
          <w:t>https://zeitgeist-online.de/exklusivonline/fachartikel/815-tetanus-impfung-mythen-und-fakten.html</w:t>
        </w:r>
      </w:hyperlink>
      <w:r w:rsidR="0026191C">
        <w:rPr/>
        <w:br/>
      </w:r>
      <w:r w:rsidRPr="002B28C8">
        <w:t xml:space="preserve">„impf-report“ Ausgabe Nr. 64/65,März/April 2010, S. 26-27 und Ausgabe 66/67, Mai/Juni 2010, S. 10 Johann Loibner: Impfen, das Geschäft mit der Unwissenheit, 1. Aufl. 2009, S. 60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Cât de mult sens are vaccinul antitetanos?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www.kla.tv/11374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31.10.2017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kritik.de/tetanus" TargetMode="External" Id="rId21" /><Relationship Type="http://schemas.openxmlformats.org/officeDocument/2006/relationships/hyperlink" Target="http://www.pei.de/DE/home/de-node.html" TargetMode="External" Id="rId22" /><Relationship Type="http://schemas.openxmlformats.org/officeDocument/2006/relationships/hyperlink" Target="https://zeitgeist-online.de/exklusivonline/fachartikel/815-tetanus-impfung-mythen-und-fakten.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Cât de mult sens are vaccinul antitetanos?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