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67bade5f49421d" /><Relationship Type="http://schemas.openxmlformats.org/package/2006/relationships/metadata/core-properties" Target="/package/services/metadata/core-properties/be94ac07e3524fe2b2beb8826a94a612.psmdcp" Id="Ra7a275e336e849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jeder Bürger des Landes wissen muss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Start des Themenblocks zum aktuellen Thema "ESM".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(17) jeweiligen EU- Finanzminister bilden den Gouverneursrat der ESM-Bank. Sie und die</w:t>
        <w:br/>
        <w:t xml:space="preserve">Räte der ESM- Bank sind rechtlich unantastbar, haben die totale Kontrolle und letzte Entscheidungsmacht</w:t>
        <w:br/>
        <w:t xml:space="preserve">in allen finanziellen, sachlichen und personellen Dingen der ESM-Bank.</w:t>
        <w:br/>
        <w:t xml:space="preserve">• Die Gouverneure und Mitarbeiter der ESM-Bank haben Schweigerecht und sichern so die Geheimhaltung</w:t>
        <w:br/>
        <w:t xml:space="preserve">der Operationen der Bank und der eigenen Aktivitäten innerhalb der ESM-Bank.</w:t>
        <w:br/>
        <w:t xml:space="preserve">• Die Gouverneure setzen sich ihr Gehalt und das ihrer Direktoren geheim und in unbekannter</w:t>
        <w:br/>
        <w:t xml:space="preserve">Millionenhöhe selbst fest.</w:t>
        <w:br/>
        <w:t xml:space="preserve">• Die ESM-Bank samt Vermögen ist immun, von Kontrollen und Lizenzen jeder Art befreit.</w:t>
        <w:br/>
        <w:t xml:space="preserve">Gerichtliche/gesetzgeberische Maßnahmen gelten für sie nicht. Die Bank ihrerseits hat Klagerecht</w:t>
        <w:br/>
        <w:t xml:space="preserve">gegen jedermann.</w:t>
        <w:br/>
        <w:t xml:space="preserve">• Der jeweilige Regierungschef/Kanzler bestimmt den Finanzminister/Gouverneur. Deshalb wird es</w:t>
        <w:br/>
        <w:t xml:space="preserve">zu Machtkämpfen um diesen Posten kommen.</w:t>
        <w:br/>
        <w:t xml:space="preserve">• Die ESM-Bank hat Blankovollmacht für unbeschränkte Geschäfte jeder Art.</w:t>
        <w:br/>
        <w:t xml:space="preserve">• Die zahlenden und haftend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clm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www.steuerzahlerbayern.de/files/8695/esm_kommentierung_tac-7.03.2012-de-ultrakurzfassung.pdf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#ESM - Internationale Schuldenunion ESM - </w:t>
      </w:r>
      <w:hyperlink w:history="true" r:id="rId22">
        <w:r w:rsidRPr="00F24C6F">
          <w:rPr>
            <w:rStyle w:val="Hyperlink"/>
          </w:rPr>
          <w:t>www.kla.tv/ESM</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jeder Bürger des Landes wissen muss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16.07.2012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teuerzahlerbayern.de/files/8695/esm_kommentierung_tac-7.03.2012-de-ultrakurzfassung.pdf" TargetMode="External" Id="rId21" /><Relationship Type="http://schemas.openxmlformats.org/officeDocument/2006/relationships/hyperlink" Target="https://www.kla.tv/ESM"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jeder Bürger des Landes wissen muss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