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2e0f50558b41f6" /><Relationship Type="http://schemas.openxmlformats.org/package/2006/relationships/metadata/core-properties" Target="/package/services/metadata/core-properties/d6bed00a707647dd897447ae0bdc0295.psmdcp" Id="Rde8481b57a7d4bb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Oekraïne: geen geld voor sociale tegemoetkomingen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Sinds de opstand op de Maidan en de bloedige machtswisseling in Oekraïne, zijn de kosten van levensonderhoud daar gestegen met 200 tot 300% ; de lonen daarentegen met hoogstens 20 tot 30%.</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Sinds de opstand op de Maidan en de bloedige machtswisseling in Oekraïne, zijn de kosten van levensonderhoud daar gestegen met 200 tot 300% ; de lonen daarentegen met hoogstens 20 tot 30%. Momenteel zijn ongeveer 60% van de Oekraïense gezinnen niet meer in staat hun volledige huur te betalen. Om te kunnen overleven zijn de gezinnen in de slechtste toestand, aangewezen op sociale tegemoetkomingen van de staat. Volgens de regering is het geld voor sociale steun in het budget van dit jaar al opgebruikt. Daarom moet men tot het einde van dit jaar, het budget voor volgend jaar al gebruiken. Daarmee is een financiële catastrofe in Oekraïne zo goed als voorgeprogrammeerd.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https://de.sputniknews.com/gesellschaft/20170813317010036-kein-geld-fuer-sozialzuschuesse-ukraine-vor-kollaps/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Oekraïne: geen geld voor sociale tegemoetkomingen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www.kla.tv/11697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31.12.2017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gesellschaft/20170813317010036-kein-geld-fuer-sozialzuschuesse-ukraine-vor-kollap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9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Oekraïne: geen geld voor sociale tegemoetkomingen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