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442da3d0c144280" /><Relationship Type="http://schemas.openxmlformats.org/package/2006/relationships/metadata/core-properties" Target="/package/services/metadata/core-properties/ce4ac1d3365d4ba6858fe9632bededa9.psmdcp" Id="R32d11e9c5aff4a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Verfassungsrecht auf Widerstand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ESM und Fiskalpakt stehen
glasklar im Widerspruch zum
Grundgesetz für die Bundesrepublik
Deutschland...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ESM und Fiskalpakt stehen</w:t>
        <w:br/>
        <w:t xml:space="preserve">glasklar im Widerspruch zum</w:t>
        <w:br/>
        <w:t xml:space="preserve">Grundgesetz für die Bundesrepublik</w:t>
        <w:br/>
        <w:t xml:space="preserve">Deutschland, denn ab</w:t>
        <w:br/>
        <w:t xml:space="preserve">dann wird die Staatsgewalt definitiv</w:t>
        <w:br/>
        <w:t xml:space="preserve">nicht mehr vom Volke ausgehen,</w:t>
        <w:br/>
        <w:t xml:space="preserve">wie dies gemäß Grundgesetz</w:t>
        <w:br/>
        <w:t xml:space="preserve">Artikel 20, Abs. 2, eigentlich vorgesehen</w:t>
        <w:br/>
        <w:t xml:space="preserve">ist. Ein Versuch, die darin</w:t>
        <w:br/>
        <w:t xml:space="preserve">definierte „verfassungsmäßige</w:t>
        <w:br/>
        <w:t xml:space="preserve">Ordnung“ zu beseitigen, führt direkt</w:t>
        <w:br/>
        <w:t xml:space="preserve">zu Grundgesetz Artikel 20,</w:t>
        <w:br/>
        <w:t xml:space="preserve">Abs. 4, wonach es unter diesen</w:t>
        <w:br/>
        <w:t xml:space="preserve">Umständen ein Recht zum Widerstand</w:t>
        <w:br/>
        <w:t xml:space="preserve">gibt: „Gegen jeden, der es</w:t>
        <w:br/>
        <w:t xml:space="preserve">unternimmt, diese Ordnung zu</w:t>
        <w:br/>
        <w:t xml:space="preserve">beseitigen, haben alle Deutschen</w:t>
        <w:br/>
        <w:t xml:space="preserve">das Recht zum Widerstand, wenn</w:t>
        <w:br/>
        <w:t xml:space="preserve">andere Abhilfe nicht möglich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Original-Aussage des Finanzexperten Andreas Popp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http://www.wissensmanufaktur.net/interviews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#ESM - Internationale Schuldenunion ESM - </w:t>
      </w:r>
      <w:hyperlink w:history="true" r:id="rId22">
        <w:r w:rsidRPr="00F24C6F">
          <w:rPr>
            <w:rStyle w:val="Hyperlink"/>
          </w:rPr>
          <w:t>www.kla.tv/ESM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Verfassungsrecht auf Widerstand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17.07.2012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issensmanufaktur.net/interviews" TargetMode="External" Id="rId21" /><Relationship Type="http://schemas.openxmlformats.org/officeDocument/2006/relationships/hyperlink" Target="https://www.kla.tv/ES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Verfassungsrecht auf Widerstand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