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6a9b93d78294f12" /><Relationship Type="http://schemas.openxmlformats.org/package/2006/relationships/metadata/core-properties" Target="/package/services/metadata/core-properties/c47bf1dececa466e9d2f04237ce7361f.psmdcp" Id="Rf4fb6abeec744f0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Vakantie voor vluchtelingen in hun vaderland?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Volgens een melding in twee Duitse kranten, met beroep op een onderzoek van het ministerie van binnenlandse zaken van Baden-Würtenberg, zijn zo'n 100 asielaanvragers sinds 2014 naar hun vaderland gereisd, waarvan sommigen zelfs meermaals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Volgens een melding in twee Duitse kranten, met beroep op een onderzoek van het ministerie van binnenlandse zaken van Baden-Würtenberg, zijn zo'n 100 asielaanvragers sinds 2014 naar hun vaderland gereisd, waarvan sommigen zelfs meermaals. In een stellingname schreef ministerieel directeur Julian Würtenberger: </w:t>
        <w:br/>
        <w:t xml:space="preserve">“Als mensen, die een gegronde wettelijke bescherming genieten ondanks vervolging of bedreiging, en dan naar hun vaderland op vakantie gaan, stelt zich terecht de vraag of deze buitenlanders behoefte aan bescherming hebben.”</w:t>
        <w:br/>
        <w:t xml:space="preserve">Oud Bondskanselier Gerhard Schröder oordeelde al over dubieuze asielgevallen in juli 1997: “Voor wie ons gastrecht misbruikt, is er maar één ding: Eruit, en snel!”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Zeitung: „Esslinger Zeitung“ vom 18. August 2017, Seite 5, Artikel: „Streit um Heimaturlaub von Flüchtlingen“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Vakantie voor vluchtelingen in hun vaderland?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www.kla.tv/11802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23.01.2018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0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Vakantie voor vluchtelingen in hun vaderland?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