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295dde67d34f6a" /><Relationship Type="http://schemas.openxmlformats.org/package/2006/relationships/metadata/core-properties" Target="/package/services/metadata/core-properties/12861e1dcacb48f298dcea9b30e8d352.psmdcp" Id="R2e3b94f186e04d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"Marriage for all" - from the legal point of 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Basically, marriage, as it was also defined by the Federal Constitutional Court in 2002, is the permanently established cohabitation of men and women. In 2012, the Federal Constitutional Court also referred to "marriage as an institution solely reserved for men and women". According to Article 6.1 of the Basic Law, marriage and family enjoy the special protection of the state.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Basically, marriage, as it was also defined by the Federal Constitutional Court in 2002, is the permanently established cohabitation of men and women. In 2012, the Federal Constitutional Court also referred to "marriage as an institution solely reserved for men and women". According to Article 6.1 of the Basic Law, marriage and family enjoy the special protection of the state. In 2016, the European Court of Human Rights made clear that the term "marriage" in the European Convention on Human Rights refers exclusively to the connection between a man and a woman. Consequently, "marriage for all" adopted by the German Bundestag in June 2017 is a criminal disregard of German and EU law.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rs./gw.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www.gesetze-im-internet.de/gg/art_6.html</w:t>
        </w:r>
      </w:hyperlink>
      <w:r w:rsidRPr="002B28C8">
        <w:t xml:space="preserve">| </w:t>
        <w:rPr>
          <w:sz w:val="18"/>
        </w:rPr>
      </w:r>
      <w:hyperlink w:history="true" r:id="rId22">
        <w:r w:rsidRPr="00F24C6F">
          <w:rPr>
            <w:rStyle w:val="Hyperlink"/>
          </w:rPr>
          <w:rPr>
            <w:sz w:val="18"/>
          </w:rPr>
          <w:t>www.mumdadandkids.eu/de/europaischer-gerichtshof-furmenschenrechte-</w:t>
        </w:r>
      </w:hyperlink>
      <w:r w:rsidR="0026191C">
        <w:rPr/>
        <w:br/>
      </w:r>
      <w:r w:rsidRPr="002B28C8">
        <w:t xml:space="preserve">ehe-ist-die-verbindung-zwischen-mann-und-frau | Buch: Thilo Sarrazin „Wunschdenken“, DVA,</w:t>
        <w:rPr>
          <w:sz w:val="18"/>
        </w:rPr>
      </w:r>
      <w:r w:rsidR="0026191C">
        <w:rPr/>
        <w:br/>
      </w:r>
      <w:r w:rsidRPr="002B28C8">
        <w:t xml:space="preserve">ISBN 978-3-421-04693-2, Seite 80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"Marriage for all" - from the legal point of 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www.kla.tv/11964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setze-im-internet.de/gg/art_6.html" TargetMode="External" Id="rId21" /><Relationship Type="http://schemas.openxmlformats.org/officeDocument/2006/relationships/hyperlink" Target="https://www.mumdadandkids.eu/de/europaischer-gerichtshof-furmenschenrech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"Marriage for all" - from the legal point of 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