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c70e7aad964a66" /><Relationship Type="http://schemas.openxmlformats.org/package/2006/relationships/metadata/core-properties" Target="/package/services/metadata/core-properties/3251248aa0fd43cab1fdd587e78f18c8.psmdcp" Id="Reacc240ee5fa4e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suppression définitive du secret bancaire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partir du janvier 2018 les banques doivent aussi accorder aux prestataires de services financiers l'accès aux données des comptes. Des prestataires de services financiers sont dans leur totalité les concurrents proches et étrangers à la banque comme par exemple des assurances et caisses d'épargne-logement.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partir du janvier 2018 les banques doivent aussi accorder aux prestataires de services financiers l'accès aux données des comptes. Des prestataires de services financiers sont dans leur totalité les concurrents proches et étrangers à la banque comme par exemple des assurances et caisses d'épargne-logement. La nouvelle directive européenne PSD2 (Payment Services Directive) oblige les banques à créer une interface correspondante. « Au plus tard par la directive PSD2, le secret bancaire sera complètement écarté », c’est ce que dit le portail financier godmode-trader.de. Cela signifie qu'un prestataire de services peut avoir accès direct au compte bancaire électronique de son client. Où est donc passé le droit du citoyen à la protection de ses données personnelles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www.epochtimes.de/politik/deutschland/bankgeheimnisendgueltig-</w:t>
        </w:r>
      </w:hyperlink>
      <w:r w:rsidR="0026191C">
        <w:rPr/>
        <w:br/>
      </w:r>
      <w:r w:rsidRPr="002B28C8">
        <w:t xml:space="preserve">abgeschafft-dienstleister-erhalten-auch-einblick-auf-das-konto-a2263518.html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22">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suppression définitive du secret bancaire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www.kla.tv/11986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deutschland/bankgeheimnisendgueltig-" TargetMode="External" Id="rId21" /><Relationship Type="http://schemas.openxmlformats.org/officeDocument/2006/relationships/hyperlink" Target="https://www.kla.tv/Politique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8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suppression définitive du secret bancaire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