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8f3102408b4837" /><Relationship Type="http://schemas.openxmlformats.org/package/2006/relationships/metadata/core-properties" Target="/package/services/metadata/core-properties/fa810f84753343c69def02538bcd3847.psmdcp" Id="R46dcf975235949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Travailler pour l’Etat 200 jours par an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L’association allemande des contribuables annonce une fois par an « le jour des contribuables ». En 2017 ce jour tombait le 19 juillet parce que depuis le début de l’année et jusqu’à ce jour-là, l’Allemand moyen avait travaillé pour l’Etat. C’est au total 200 jours sur 365 dans année.De chaque euro gagné il reste effectivement dans son porte-monnaie 45,4 centimes seulement à sa libre disposition.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L’association allemande des contribuables annonce une fois par an « le jour des contribuables ». En 2017 ce jour tombait le 19 juillet parce que depuis le début de l’année et jusqu’à ce jour-là, l’Allemand moyen avait travaillé pour l’Etat. C’est au total 200 jours sur 365 dans année. De chaque euro gagné il reste effectivement dans son porte-monnaie 45,4 centimes seulement à sa libre disposition. De tout ce qui reste, 21,3 centimes partent dans les assurances sociales, 33,3 centimes dans des impôts de toutes sortes, dont les impôts sur le salaire et les taxes à la valeur ajoutée ne représentent que 22,6 centimes – cela fait en tout 54,6 centimes – ce qui correspond, converti en jours et arrondi, à 200 jours. C’est là une exploitation massive des travailleurs et la question se pose de savoir combien de temps ils pourront encore y faire face.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www.steuerzahler.de/Zum-</w:t>
        </w:r>
      </w:hyperlink>
      <w:r w:rsidR="0026191C">
        <w:rPr/>
        <w:br/>
      </w:r>
      <w:r w:rsidRPr="002B28C8">
        <w:t xml:space="preserve">Steuerzahlergedenktag/85230c97010i1p1520/ </w:t>
        <w:rPr>
          <w:sz w:val="18"/>
        </w:rPr>
      </w:r>
      <w:r w:rsidR="0026191C">
        <w:rPr/>
        <w:br/>
      </w:r>
      <w:r w:rsidRPr="002B28C8">
        <w:t xml:space="preserve">Basler Zeitung vom 20.7.2017, S.7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Travailler pour l’Etat 200 jours par an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www.kla.tv/12011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euerzahler.de/Zu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Travailler pour l’Etat 200 jours par an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