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2f25f67e5b344d3" /><Relationship Type="http://schemas.openxmlformats.org/package/2006/relationships/metadata/core-properties" Target="/package/services/metadata/core-properties/bfded78c536149b4b330d67338eb5a70.psmdcp" Id="Rdf421069291e452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Вьетнам: юстиция ставит общественное благо выше корыстолюбия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Если бы банкиры всех стран должны были бояться последствий злоупотребления своей властью, то это было бы действенной защитой народа от ограбления. Вьетнам показывает нам, как это происходит.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то время как банкиры крадут миллиарды у граждан США и не должны бояться последствий, во Вьетнаме преступления против народа строго наказываются. Во Вьетнаме суд приговорил Нгуйен Ксуан Сона, бывшего председателя государственного нефтяного концерна PetroVietnam и бывшего председателя правления Ocean Bank, за мошенничество, к смерти. Он был признан виновным в преступном злоупотреблении доверием и в преднамеренном нарушении правил государственного управления экономикой. Его преднамеренное злоупотребление служебным положением и властью привело к тяжёлым последствиям для общественного блага. В общей сложности перед судом предстали 51 служащий и банкир, которые были обвинены в бесхозяйственности. Могло бы в США и других странах более последовательное уголовное преследование и более высокая мера наказания банкиров быть выходом, чтобы защитить народ от столь подлых грабителей?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enm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http://derwaechter.net/vietnam-raeumt-korruptes-bankensystem-auf-und-verurteilt-top-banker-zum-tod-wegen-betruges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Вьетнам: юстиция ставит общественное благо выше корыстолюбия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www.kla.tv/12053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05.03.2018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derwaechter.net/vietnam-raeumt-korruptes-bankensystem-auf-und-verurteilt-top-banker-zum-tod-wegen-betruges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05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05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Вьетнам: юстиция ставит общественное благо выше корыстолюбия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