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1540e7c1c4791" /><Relationship Type="http://schemas.openxmlformats.org/package/2006/relationships/metadata/core-properties" Target="/package/services/metadata/core-properties/cb388f813cd140f69de68a210e7881b7.psmdcp" Id="Ra3df841ab1554f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Oamenii superdotați degenerează în „homo tehnicus“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pare că „supravegherea“ tehnică nu are limite: Scutece „inteligent“ dezvoltate controlează echilibrul fluidelor bebelușului. De asemenea, biberonul „inteligent“ înregistrează de unul singur cât din alimentație asimilează copilul și transmite totodată recomandări pe telefonul mobil al părinților. În final, mai există și „șoseta electronică”, o șosetă de bebeluș care constată vitalitatea copilului.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 pare că „supravegherea“ tehnică nu are limite: Scutece „inteligent“ dezvoltate controlează echilibrul fluidelor bebelușului. De asemenea, biberonul „inteligent“ înregistrează de unul singur cât din alimentație asimilează copilul și transmite totodată recomandări pe telefonul mobil al părinților. În final, mai există și „șoseta electronică”, o șosetă de bebeluș care constată vitalitatea copilului. Toate acestea sunt controlabile prin aplicații mobile, programe pentru smartphone-uri și tablete care se pot instala cu scopul de a extinde funcțiile aparatului. Minunat, ar putea spune cineva. Dar medicii pediatri avertizează :„Aceste unelte îndepărtează părinții tot mai mult de percepția lor naturală și astfel de copiii lor.” În loc să se bazeze pe intuiția lor, o abilitate înnăscută părinților, ei se bazează din ce în ce mai mult pe tehnologia modernă și astfel devin incapabili în relația cu copiii lor. Omul intuitiv degenerează în „inaptul” „homo tehnicus“ deci omul tehnic. Cine dorește așa ceva?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http://orf.at/stories/2235187/2235158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Oamenii superdotați degenerează în „homo tehnicus“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www.kla.tv/12222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02.04.2018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235187/223515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Oamenii superdotați degenerează în „homo tehnicus“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