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d7110c3a624523" /><Relationship Type="http://schemas.openxmlformats.org/package/2006/relationships/metadata/core-properties" Target="/package/services/metadata/core-properties/60f731285eee45b29f4701084e875f8f.psmdcp" Id="R652675f74a25437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Uruguay : Privatisation de l’approvisionnement en eau</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Face à une nouvelle loi, les mouvements pour la protection de la nature et de l’environnement en Uruguay craignent la privatisation et la commercialisation de l’eau comme bien collectif.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Uruguay : Privatisation de l’approvisionnement en eau – </w:t>
        <w:br/>
        <w:t xml:space="preserve">Face à une nouvelle loi, les mouvements pour la protection de la nature et de l’environnement en Uruguay craignent la privatisation et la commercialisation de l’eau comme bien collectif. Cela fait de l'eau une marchandise que les investisseurs sont prêts à payer cher. La dépendance et l’appauvrissement de la population, en particulier des exploitations agricoles, est donc préprogrammée. Conclusion : Lorsqu'un gouvernement se préoccupe davantage des intérêts des grandes entreprises que de sa responsabilité de couvrir les besoins fondamentaux du peuple, la porte est ouverte au pillage de la population.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ms./be.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https://amerika21.de/2017/10/188168/uruguay-protest-bewaesserungsgesetz</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Uruguay : Privatisation de l’approvisionnement en eau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www.kla.tv/12224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02.04.2018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17/10/188168/uruguay-protest-bewaesserungsgesetz"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22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2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Uruguay : Privatisation de l’approvisionnement en eau</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