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16869c64534dd5" /><Relationship Type="http://schemas.openxmlformats.org/package/2006/relationships/metadata/core-properties" Target="/package/services/metadata/core-properties/fdf016a3c5ca4004bc2b35119aa3453b.psmdcp" Id="R135bad33079641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Hið falda stríð gegn fólksins vilja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Að loknum tveim heimstyrjöldum hefur slagorðið „Aldrei aftur stríð!“ skotið djúpum rótum í þýskri þjóðarsál.  Samkvæmt skoðunakönnunum hafna allt að 86% Þjóðverja stríði.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Að loknum tveim heimstyrjöldum hefur slagorðið „Aldrei aftur stríð!“ skotið djúpum rótum í þýskri þjóðarsál.  Samkvæmt skoðunakönnunum hafna allt að 86% Þjóðverja stríði.  Vegna þessa var Gerhards Schröder endurkjörinn kanslari árið 2002 því að hann synjaði USA um samþykki vegna Írakstríðsins.  En í leynum hjálpaði Þýskaland bandarísku leyniþjónustunni og hernum í Írakstríðinu: Gefin var heimild til hergagnaflutnings yfir þýskt flugumferðasvæði með bandarískum B52 sprenguvélum til Íraks og skipulögð var þjónusta við herinn þar, frá þrem bandarískum herstöðvum í Þýskalandi.  Þar að auki voru leyniþjónustu USA veittar skissur af varnarskipulagi írakskra stjórnvalda og veittur var stuðningur við kennslastaðfestingar bygginga sem átti að sprengja í höfðborg Íraks.  Ummæli Spider Marks yfirmanns leyniþjónustu bandaríska hersins meðan á innrásinni í Irak stóð, um þýska leyniþjónustumenn í Bagdad voru: „þeir nýttust okkur betur en 5000 hermenn“.</w:t>
        <w:br/>
        <w:t xml:space="preserve"/>
        <w:br/>
        <w:t xml:space="preserve">Uppúr stendur:  Með földum stríðsaðgerðum heyja þýskar ríkisstjórnir líka samtímis „stríð“ í felum við friðarvilja sinnar eigin þjóðar!“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Bókin: „stríð í leyndum – hvernig baráttunni gegn hryðjuverkum er stýrt frá Þýskalandi“ eftir Christian Fuchs og John Goetz, bls. 230-233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1">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Hið falda stríð gegn fólksins vilja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trid-Baratt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Hið falda stríð gegn fólksins vilja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