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1ece1e5f84c36" /><Relationship Type="http://schemas.openxmlformats.org/package/2006/relationships/metadata/core-properties" Target="/package/services/metadata/core-properties/1f9d3520d661441094cba16cf039e2f9.psmdcp" Id="Rffbc480d191a49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Secret War Against the People's Will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two world wars, the slogan "No more war!" is anchored deep within the German self-image. According to surveys, 86% or German citizens oppose wars. In 2002, Gerhard Schröder won the reelection for German Chancellor also because he refused to give the USA German recognition for the war on Iraq. Secretly though, Germany helped US intelligence services and military during the war on Iraq...</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After two world wars, the slogan "No more war!" is anchored deep within the German self-image. According to surveys, 86% or German citizens oppose wars. In 2002, Gerhard Schröder won the reelection for German Chancellor also because he refused to give the USA German recognition for the war on Iraq. Secretly though, Germany helped US intelligence services and military during the war on Iraq:</w:t>
        <w:br/>
        <w:t xml:space="preserve">American B52 bombers headed toward Iraq received the right to fly through German airspace and the supply of troops was organized by three US air bases within Germany. Furthermore, sketches of the Iraqi defense strategy were provided to US military intelligence and in the Iraqi capitol reconnaissance missions  of target buildings were supported. According to Spider Marks, head of the US-intelligence during the invasion in Iraq, the German agents in Baghdad were "more useful to us than 5'000 soldiers."</w:t>
        <w:br/>
        <w:t xml:space="preserve"/>
        <w:br/>
        <w:t xml:space="preserve">The bottom line: Germany's governments use covered up military operations to silently wage "war", even against their own people's will for peace!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Book: „Geheimer Krieg – wie von Deutschland aus der Kampf gegen den Terror gesteuert wird“ from Christian Fuchs und John Goetz, S. 230-233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Secret War Against the People's Will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Secret War Against the People's Will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