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5ac413ef974e63" /><Relationship Type="http://schemas.openxmlformats.org/package/2006/relationships/metadata/core-properties" Target="/package/services/metadata/core-properties/a2c5bb3ecb3148a8a32edec48a086a25.psmdcp" Id="Rdcdb3c29cf4c4a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Elita și rasismul intelectual al acesteia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Walter Lippmann (1889-1974) a fost consilier al președintelui american Woodrow Wilson și cofondator al „Council of Foreign Relations**” (Consiliul pentru Relații Externe), ”mama tuturor rețelelor transatlantice”. În opera sa de bază, „Opinia Publică“, el dezvăluie ce gen de rasism intelectual întrețin aceste grupări transatlantice: Numai o elită politică este cu adevărat capabilă să înțeleagă procesele politice în complexitatea 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Walter Lippmann (1889-1974) a fost consilier al președintelui american Woodrow Wilson și cofondator al „Council of Foreign Relations**” (Consiliul pentru Relații Externe), ”mama tuturor rețelelor transatlantice”. În opera sa de bază, „Opinia Publică“, el dezvăluie ce gen de rasism intelectual întrețin aceste grupări transatlantice: Numai o elită politică este cu adevărat capabilă să înțeleagă procesele politice în complexitatea lor. Poporul ar fi „o turmă dezorientată“ care ar trebui condusă de către această elită pe calea cea dreaptă prin manipulare coordonată și ascunsă cu ajutorul mass-media. Cum este aplicată această gândire elitară de neînchipuit de către rețelele transatlantice ne arată următorul exemplu: pe data de 2 iulie 2014, în mijlocul crizei din Ucraina, au avut loc dezbateri în cadrul organizaţiei Puntea Atlantică – departe de publicitate - despre sensul sancțiunilor europene împotriva Rusiei. Trei săptămâni mai târziu, ziarele germane Bild, Süddeutsche Zeitung și Spiegel, ale căror colaboratori de rang înalt sunt membri în Puntea Atlantică au pledat aproape simultan pentru aplicarea sancțiunilor împotriva Rusiei. Inconstestabil, prin aceasta s-a încercat să se manipuleze opinia publică pentru o politică a sancțiunilor. Deci nu este valabil ce gândeşte şi vrea poporul. Este valabilă doar impunerea propriilor țeluri - dacă este nevoie, chiar prin mijloace frauduloase. </w:t>
        <w:br/>
        <w:t xml:space="preserve"/>
        <w:br/>
        <w:t xml:space="preserve">*Elita sau elita puterii caracterizează cercurile dominante, respectiv influente ale unei societăți</w:t>
        <w:br/>
        <w:t xml:space="preserve">** „Consiliul pentru afaceri externe”- o fabrică de gândire din SUA care are influență până la nivelul  cercurilor guvernamentale.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jb./db.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t>
        </w:r>
      </w:hyperlink>
      <w:r w:rsidR="0026191C">
        <w:rPr/>
        <w:br/>
      </w:r>
      <w:r w:rsidRPr="002B28C8">
        <w:t xml:space="preserve">wiki/Die_öffentliche_Meinung | </w:t>
        <w:rPr>
          <w:sz w:val="18"/>
        </w:rPr>
      </w:r>
      <w:hyperlink w:history="true" r:id="rId22">
        <w:r w:rsidRPr="00F24C6F">
          <w:rPr>
            <w:rStyle w:val="Hyperlink"/>
          </w:rPr>
          <w:rPr>
            <w:sz w:val="18"/>
          </w:rPr>
          <w:t>www.nachdenkseiten.de/?p=25285</w:t>
        </w:r>
      </w:hyperlink>
      <w:r w:rsidRPr="002B28C8">
        <w:t xml:space="preserve">| </w:t>
        <w:rPr>
          <w:sz w:val="18"/>
        </w:rPr>
      </w:r>
      <w:hyperlink w:history="true" r:id="rId23">
        <w:r w:rsidRPr="00F24C6F">
          <w:rPr>
            <w:rStyle w:val="Hyperlink"/>
          </w:rPr>
          <w:rPr>
            <w:sz w:val="18"/>
          </w:rPr>
          <w:t>www.youtube.com/watch?v=LGOo0ZOkpQY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Elita și rasismul intelectual al acesteia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www.kla.tv/12374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01.05.2018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 TargetMode="External" Id="rId21" /><Relationship Type="http://schemas.openxmlformats.org/officeDocument/2006/relationships/hyperlink" Target="https://www.nachdenkseiten.de/?p=25285" TargetMode="External" Id="rId22" /><Relationship Type="http://schemas.openxmlformats.org/officeDocument/2006/relationships/hyperlink" Target="https://www.youtube.com/watch?v=LGOo0ZOkpQY"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7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Elita și rasismul intelectual al acesteia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