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e70eafdfb84fb4" /><Relationship Type="http://schemas.openxmlformats.org/package/2006/relationships/metadata/core-properties" Target="/package/services/metadata/core-properties/d9cb3c7d1369486aa97979367c4433cd.psmdcp" Id="R21c9b7026f424f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mari de Theresa May profite de l’attaque contre la Syrie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nuit du 14 avril 2018, en plus des États-Unis et de la France, la Première ministre britannique Theresa May, a fait tirer des missiles sur la Syrie. En apparence, il s'agissait de représailles pour une prétendue attaque au gaz toxique par le gouvernement syrien. Or il est apparu que ce n'était évidemment pas la seule motivation de Theresa May pour cette attaque, puisque la société d'investissement dont son mari est directeur, a largement profité de cette attaque. Vous en saurez plus dans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regard en arrière sur la nuit du 14 avril 2018 révèle un autre aspect de l'attaque de missiles contre la Syrie. Outre les États-Unis et la France, la Grande-Bretagne a également participé aux attaques. La décision de bombarder la Syrie a été prise par la Première ministre britannique Theresa May seule, sans le consentement du Parlement. Les missiles britanniques ont été fabriqués par la société d'armement « BAE Systems » et ont coûté au contribuable britannique l'équivalent de neuf millions de dollars. Le cours de l'action BAE a grimpé en flèche après l'attaque. Fait remarquable : Philipp May, le mari de la Première ministre, est directeur de la société d'investissement « Capital Group », qui est le plus grand actionnaire de « BAE Systems » et il a acheté 360 000 actions de BAE deux semaines avant l'attaque. Ainsi, la famille May a bénéficié financièrement des attaques aériennes. L'achat énorme d'actions par « Capital Group » était-il le fruit du hasard ou était-il dû à des informations privilégiées que Philipp May a reçues de son épouse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www.ruhrkultour.de/theresa-may-und-ihr-dunkler-interessenkonflikt-mit-der-ruestungsindustrie/</w:t>
        </w:r>
      </w:hyperlink>
      <w:r w:rsidR="0026191C">
        <w:rPr/>
        <w:br/>
      </w:r>
      <w:hyperlink w:history="true" r:id="rId22">
        <w:r w:rsidRPr="00F24C6F">
          <w:rPr>
            <w:rStyle w:val="Hyperlink"/>
          </w:rPr>
          <w:rPr>
            <w:sz w:val="18"/>
          </w:rPr>
          <w:t>www.deutsch.rt.com/international/68594-familiengeschaft-aktien-firma-von-mays-ehemann-syrien/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mari de Theresa May profite de l’attaque contre la Syrie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hrkultour.de/theresa-may-und-ihr-dunkler-interessenkonflikt-mit-der-ruestungsindustrie/" TargetMode="External" Id="rId21" /><Relationship Type="http://schemas.openxmlformats.org/officeDocument/2006/relationships/hyperlink" Target="https://www.deutsch.rt.com/international/68594-familiengeschaft-aktien-firma-von-mays-ehemann-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mari de Theresa May profite de l’attaque contre la Syrie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