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d0ad8a600c4e4a" /><Relationship Type="http://schemas.openxmlformats.org/package/2006/relationships/metadata/core-properties" Target="/package/services/metadata/core-properties/5ad13821442340189d55edde134b3692.psmdcp" Id="Rbbebeb33231e4b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et Crimée : comparaison de leur développement depuis Maïdan 2014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va l'Ukraine sous la domination des États-Unis et de l'UE par rapport à la Crimée, qui est sous administration russe ? Voyez dans cette émission comment l’évolution économique de l’Ukraine et de la Crimée est en totale contradiction avec ce qu’en disent les politiciens et les médias occidentaux.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Avec sa prétendue libération du « méchant dictateur » Ianoukovitch lors des émeutes sanglantes de Maïdan en 2014 et son rapprochement ultérieur avec l’UE, l’Ukraine a plongé dans une récession rapide. On constate une baisse de la productivité et du pouvoir d’achat, une hausse du chômage et du taux de mortalité. Aucune solution n’est en vue et n’est apparemment recherchée ni par le gouvernement putschiste ukrainien, ni par les gouvernements occidentaux. La Crimée sous l’administration russe, en revanche, connaît une solide tendance à la hausse après sa prétendue annexion. Il est intéressant de voir que l’évolution de l’économie de l’Ukraine et de la Crimée se trouve en contradiction totale avec ce que les politiciens et les médias occidentaux pensent de l’évolution politique. Compte tenu de cette divergence, ne devraient-ils pas corriger radicalement leur trajectoire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www.kla.tv/11768</w:t>
        </w:r>
      </w:hyperlink>
      <w:r w:rsidR="0026191C">
        <w:rPr/>
        <w:br/>
      </w:r>
      <w:r w:rsidR="0026191C">
        <w:rPr/>
        <w:br/>
      </w:r>
      <w:r w:rsidRPr="002B28C8">
        <w:t xml:space="preserve">PHI, Doppel Nr. 14 15, Jahrgang 2017, Seite 105-120  </w:t>
        <w:rPr>
          <w:sz w:val="18"/>
        </w:rPr>
      </w:r>
      <w:r w:rsidR="0026191C">
        <w:rPr/>
        <w:br/>
      </w:r>
      <w:hyperlink w:history="true" r:id="rId22">
        <w:r w:rsidRPr="00F24C6F">
          <w:rPr>
            <w:rStyle w:val="Hyperlink"/>
          </w:rPr>
          <w:rPr>
            <w:sz w:val="18"/>
          </w:rPr>
          <w:t>http://bueso.de/content/die-%E2%80%9Eerfolgsgeschichte%E2%80%9C-der-eu-der-ukraine-not-und-entv%C3%B6lkerung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3">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et Crimée : comparaison de leur développement depuis Maïdan 2014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768" TargetMode="External" Id="rId21" /><Relationship Type="http://schemas.openxmlformats.org/officeDocument/2006/relationships/hyperlink" Target="http://bueso.de/content/die-%E2%80%9Eerfolgsgeschichte%E2%80%9C-der-eu-der-ukraine-not-und-entv%C3%B6lkerung" TargetMode="External" Id="rId22" /><Relationship Type="http://schemas.openxmlformats.org/officeDocument/2006/relationships/hyperlink" Target="https://www.kla.tv/Ukrain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et Crimée : comparaison de leur développement depuis Maïdan 2014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