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a202599847b445d" /><Relationship Type="http://schemas.openxmlformats.org/package/2006/relationships/metadata/core-properties" Target="/package/services/metadata/core-properties/a5e5f5d671414484a41cdc5c7fbb462a.psmdcp" Id="R2545785ff5324c0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Vietnam: Judiciary puts common good over self-interest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If bankers of all countries have to fear the consequences of their abuse of power, this could effectively protect the people from plunder. Vietnam shows us how to do 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While</w:t>
        <w:br/>
        <w:t xml:space="preserve">Bankers are plundering Billions from US citizens and do not have to fear consequences, in Vietnam criminal offences towards citizens are severely punished. A Court in Vietnam sentenced Nguyen Xuan Son, a former Chairman of the state-owned oil company PetroVietnam and former CEO of Ocean Bank to death on account of fraud. He was found guilty of breach of contract and intentional violation of Government regulations concerning economic governance. His abuse of position and power has led to grave consequences for the common good. In total 51 officials and bankers accused of mismanagement stood trial. Could a more consequent prosecution in the USA and other countries and higher sentences for „banksters“ be a way out to protect the people from such dispicable plunderers?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enm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http:derwaechter.net/vietnam-raeumt-korruptes-bankensystem-auf-und-verurteilt-top-banker-zum-tod-wegen-betruges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Vietnam: Judiciary puts common good over self-interest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www.kla.tv/12695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9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Vietnam: Judiciary puts common good over self-interest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