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627f0cc70647e4" /><Relationship Type="http://schemas.openxmlformats.org/package/2006/relationships/metadata/core-properties" Target="/package/services/metadata/core-properties/5b4c3985e2804d53a442f850448ad51e.psmdcp" Id="R07f5df0ef23b4d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Rahmenabkommen oder Selbstbestimmung?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drängt die Schweiz zum Abschluss eines institutionellen Rahmenabkommens. Durch dieses will sie der Schweiz beim Arbeitnehmerschutz ihre eigenen Regelungen aufzwingen. Doch wollen wir, dass der Schutz unserer Löhne europäischem Recht untersteht? Und dass die flankierenden Maßnahmen dem Europäischen Gerichtshof unterstehen?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 drängt die Schweiz zum Abschluss eines institutionellen Rahmenabkommens. Dieses verlangt, dass die Schweiz in Zukunft automatisch EU-Recht übernehmen soll. Durch das Abkommen will die EU der Schweiz beim Arbeitnehmerschutz sowie in zahlreichen anderen Bereichen, ihre eigenen Regelungen aufzwingen.  Dazu äußert sich die sozialdemokratische Altbundesrätin Micheline Calmy-Rey wie folgt: „Wollen wir, dass der Schutz unserer Löhne europäischem Recht untersteht? Dass die flankierenden Maßnahmen [- diese ermöglichen der Schweiz die Kontrolle der Einhaltung der minimalen oder üblichen Lohn- und Arbeitsbedingungen -] dem Europäischen Gerichtshof unterstehen?</w:t>
        <w:br/>
        <w:t xml:space="preserve">Der Europäische Gerichtshof hat bis jetzt die Wettbewerbsfreiheit über den Schutz der Arbeitnehmer gestellt.“ Das umstrittene Rahmenabkommen führt unweigerlich zu einem Souveränitätsverlust der Schweiz und ist nicht vereinbar mit den direktdemokratischen Rechten der Bürger.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https://www.zeit-fragen.ch/de/ausgaben/2018/nr-20-28-august-2018/rahmenabkommen-mit-bruessel-oder-selbstbestimmung-der-schweizerbuerger.html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Rahmenabkommen oder Selbstbestimmung?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de/ausgaben/2018/nr-20-28-august-2018/rahmenabkommen-mit-bruessel-oder-selbstbestimmung-der-schweizerbuerger.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Rahmenabkommen oder Selbstbestimmung?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