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9c1f0eda032482a" /><Relationship Type="http://schemas.openxmlformats.org/package/2006/relationships/metadata/core-properties" Target="/package/services/metadata/core-properties/91fcda328bc1498c883c926ba8854d0e.psmdcp" Id="R20321adb232346a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Pourquoi Kla.TV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Pourquoi Kla.TV ? Il ne s'agit pas d’une obstination à vouloir avoir raison. Le fait est que nous faisons preuve d'ouverture, que nous apprenons à écouter tout simplement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quoi consiste  kla.tv ? - Kla.TV ne garantit pas la vérité, mais elle garantit les contre voix. Ivo Sasek, fondateur de Kla.TV, a récemment ajouté ce que signifie ou non la juxtaposition de la voix et de la contre voix : </w:t>
        <w:br/>
        <w:t xml:space="preserve"> « Il ne s'agit pas d’une obstination à vouloir avoir raison. Le fait est que nous faisons preuve d'ouverture, que nous apprenons à écouter tout simplement. Ne pas juger, juste écouter, y réfléchir, continuer, ne pas se disputer, (....) mais simplement avoir la voix et la contre voix. Cet exercice, je pense, est la seule chose qui aide le monde, et qui nous aide. Et c'est ainsi qu'on découvrira les tromperies, parce que nous permettrons à nouveau une nouvelle façon de penser, car la pensée s'est perdue. »  </w:t>
        <w:br/>
        <w:t xml:space="preserve">En ce sens, l’émission d'aujourd'hui vise également à stimuler l'écoute et la réflexion personnelle.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ts./mm.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Pourquoi Kla.TV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www.kla.tv/13342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14.11.2018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34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3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Pourquoi Kla.TV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