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baf96569f7469e" /><Relationship Type="http://schemas.openxmlformats.org/package/2006/relationships/metadata/core-properties" Target="/package/services/metadata/core-properties/f394c5f8b7b84c24b5d166a8e2ea3bb9.psmdcp" Id="Ra1c91dae2a4c43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destino de la mondo – Kunigi anstataŭ disigi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destino de la mondo – Kunigi anstataŭ disigi
La destino de la mondo – Kunigi anstataŭ disigi
Danco de la lumoj (dancgrupo de Mischa okaze de la Tago de la internacia amikeco - 14an de majo 2016)</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Kunproduktado de Panorama-film kaj Kla-tv</w:t>
        <w:br/>
        <w:t xml:space="preserve">La destino de la mondo – Kunigi anstataŭ disigi - "Ami sen limoj"</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Fontoj / Ligiloj :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destino de la mondo – Kunigi anstataŭ disigi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www.kla.tv/13566</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24.12.2018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66"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destino de la mondo – Kunigi anstataŭ disigi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