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82caa036b84647" /><Relationship Type="http://schemas.openxmlformats.org/package/2006/relationships/metadata/core-properties" Target="/package/services/metadata/core-properties/a8514d3152814cbfad0f4545f2040445.psmdcp" Id="R3a55fc32c74649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Private Polizei? – Ja, aber nur für Reiche!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wohlhabende Bürger in London scheint das Problem von steigender Kriminalität gelöst zu sein. Genügend finanzielle Mittel machten es möglich, eine eigene, private Polizei zu gründen. 
Doch werden Normalbürger ebenso geschützt wie Vermögende?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Wohlhabende Bürger Londons haben aufgrund steigender Kriminalität und stetig wachsender Überlastung der Polizei eine private Bürgerpolizei gegründet. Sie besteht aus ehemaligen Beamten von Scotland Yard und der Londoner Polizei. Sie verspricht, innerhalb von 5 Minuten am Tatort zu sein. In zwei Jahren hat sie 403 Täter gefasst, die allesamt verurteilt wurden. Für wohlhabende Bürger scheint das Problem gelöst. Aber wo bleibt der Normalbürger? Warum erhält nicht jeder Bürger für seine Steuern hinreichenden Schutz?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https://www.dailymail.co.uk/news/article-5346699/First-private-police-force-caught-400-criminals.html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Private Polizei? – Ja, aber nur für Reiche!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ail.co.uk/news/article-5346699/First-private-police-force-caught-400-criminals.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Private Polizei? – Ja, aber nur für Reiche!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