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4d4573a23047ac" /><Relationship Type="http://schemas.openxmlformats.org/package/2006/relationships/metadata/core-properties" Target="/package/services/metadata/core-properties/8228e92a21be49d5a3fe1d407f370c73.psmdcp" Id="R72057f1dcac742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SUA pe primul loc: Bomba de cinci bilioane de dolari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Sloganul pretenţios al guvernului american „SUA pe primul loc” a declanșat în 2017, în fața politicii externe dominante a SUA  nemulțumire şi un şoc global.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Sloganul pretenţios al guvernului american „SUA pe primul loc” a declanșat în 2017, în fața politicii externe dominante a SUA  nemulțumire şi un şoc global. Dar, cum arată lucrurile în spatele culiselor acestui gigant american?  Fondurile și casele de pensii din SUA sunt complet subfinanțate. Pentru milioane de americani aceasta înseamnă că trebuie să se aștepte la o sărăcie totală când vor fi la pensie. Illinois are deja o pagubă de 250 de milioane de dolari în fondul de pensii din sectorul public, iar California de circa 750 de milioane de dolari. La fel arată lucrurile și în Connecticut, Pennsylvania, New Jersey și în multe alte state federale. În total, obligațiunile pensiilor sunt depășite cu cinci bilioane de dolari nu numai în statele federale, ci și în alte orașe din apropiere. În general, obligațiile federale și de stat nesatisfăcute privind pensiile au depășit 5 bilioane de dolari.  Aceasta este o bombă care continuă să ardă zilnic – și în curând va zbura în jurul urechilor cetățenilor americani.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https://www.contra-magazin.com/2017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SUA pe primul loc: Bomba de cinci bilioane de dolari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www.kla.tv/13619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01.01.2019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7"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1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SUA pe primul loc: Bomba de cinci bilioane de dolari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