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b25c243020418c" /><Relationship Type="http://schemas.openxmlformats.org/package/2006/relationships/metadata/core-properties" Target="/package/services/metadata/core-properties/1fdf49276fab4132abff052f3160c83e.psmdcp" Id="R49dc939ab5234a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Souveränitätsverlust für EU-Länder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Finanzminister Wolfgang Schäuble sagte auf dem Internationalen Bankenkongress in Frankfurt/Main am 18. Nov. 2011: „Diese Fiskalunion kommt innerhal...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Finanzminister Wolfgang</w:t>
        <w:br/>
        <w:t xml:space="preserve">Schäuble sagte auf dem Internationalen</w:t>
        <w:br/>
        <w:t xml:space="preserve">Bankenkongress in</w:t>
        <w:br/>
        <w:t xml:space="preserve">Frankfurt/Main am 18. Nov. 2011:</w:t>
        <w:br/>
        <w:t xml:space="preserve">„Diese Fiskalunion kommt innerhalb</w:t>
        <w:br/>
        <w:t xml:space="preserve">von 24 Monaten.“ Unter Fiskalunion</w:t>
        <w:br/>
        <w:t xml:space="preserve">ist zu verstehen, dass die</w:t>
        <w:br/>
        <w:t xml:space="preserve">EU Macht erhält, die Wirtschaftsund</w:t>
        <w:br/>
        <w:t xml:space="preserve">Finanzpolitik aller EU-Staaten</w:t>
        <w:br/>
        <w:t xml:space="preserve">zu bestimmen. Die Deutschen hätten</w:t>
        <w:br/>
        <w:t xml:space="preserve">keinen Grund, sich über den</w:t>
        <w:br/>
        <w:t xml:space="preserve">Verlust der Souveränität aufzuregen,</w:t>
        <w:br/>
        <w:t xml:space="preserve">da sie schon seit dem 8. Mai</w:t>
        <w:br/>
        <w:t xml:space="preserve">1945 nicht mehr wirklich souverän</w:t>
        <w:br/>
        <w:t xml:space="preserve">seien. Des weiteren bezeichnete</w:t>
        <w:br/>
        <w:t xml:space="preserve">Schäuble das Festhalten am Souveränitätsgedanken</w:t>
        <w:br/>
        <w:t xml:space="preserve">der Nationalstaaten</w:t>
        <w:br/>
        <w:t xml:space="preserve">als einen Rückfall in das letzte</w:t>
        <w:br/>
        <w:t xml:space="preserve">Jahrhundert.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Politische Hintergrundinformationen Nr. 33-34/2011, Seite 261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Souveränitätsverlust für EU-Länder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Souveränitätsverlust für EU-Länder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