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ec667944264ad2" /><Relationship Type="http://schemas.openxmlformats.org/package/2006/relationships/metadata/core-properties" Target="/package/services/metadata/core-properties/453b50b7b1af4e7ea77fb3e818758fa9.psmdcp" Id="Rdc32313fe12a44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Versorgungsrente für Impfschaden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2009 wurde weltweit vor der Schweinegrippe gewarnt und zur Impfung geraten. Eine damals 12-Jährige wurde daraufhin gegen Schweinegrippe geimpft und leidet seither an einer schweren Schlafkrankheit. Doch wer zahlt nun die vom Sozialgericht Koblenz zugesprochene monatliche Versorgungsrente?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2009 wurde weltweit vor der Schweinegrippe  gewarnt  und zur  Impfung  geraten,  was  eine</w:t>
        <w:br/>
        <w:t xml:space="preserve">damals  zwölfjährige  Klägerin auch  befolgte.  Danach  traten bei  ihr  Müdigkeit  und  weitere</w:t>
        <w:br/>
        <w:t xml:space="preserve">Symptome  auf,  die  erst  Jahre später  als  Anzeichen  einer Schlafkrankheit  (Narkolepsie)</w:t>
        <w:br/>
        <w:t xml:space="preserve">erkannt  wurden.  Das  Sozialgericht  Koblenz  sprach  nun  der Klägerin eine staatliche Versor-</w:t>
        <w:br/>
        <w:t xml:space="preserve">gungsrente  von  monatlich  326 Euro zu.</w:t>
        <w:br/>
        <w:t xml:space="preserve">Doch wie kann es sein, dass die Kosten für die monatliche Rente vom Steuerzahler zu tragen sind,</w:t>
        <w:br/>
        <w:t xml:space="preserve">während  die  verursachende Pharmaindustrie  nur  die  Gewinne einstreicht?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www.rheinpfalz.de/lokal/artikel/kaiserslautern-kind-bekommt-nach-impfschaden-versorgungsrente/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Versorgungsrente für Impfschaden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heinpfalz.de/lokal/artikel/kaiserslautern-kind-bekommt-nach-impfschaden-versorgungsrente/" TargetMode="External" Id="rId21" /><Relationship Type="http://schemas.openxmlformats.org/officeDocument/2006/relationships/hyperlink" Target="https://www.kla.tv/Impfen"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Versorgungsrente für Impfschaden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