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26ad8c501e497e" /><Relationship Type="http://schemas.openxmlformats.org/package/2006/relationships/metadata/core-properties" Target="/package/services/metadata/core-properties/e2236f45a89847e4b68e9cd2b5416812.psmdcp" Id="Re6ae0f890a314a1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Gedaan met: “gender studies” in Bulgarije en Hongarije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Eind juli 2018 had het Grondwettelijk Hof van Bulgarije vastgesteld dat de in 2011 door de Raad van Europa aangenomen "Conventie van Istanbul" in strijd is met de Bulgaarse grondwet. De gender-ideologie beroept zich op deze conventie met haar wetenschappelijk onhoudbare veronderstelling dat de geslachtenverdeling - man en vrouw - niet biologisch gebaseerd is, maar zich in tegendeel enkel door de sociale rollen heeft ontwikkeld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Eind juli 2018 had het Grondwettelijk Hof van Bulgarije vastgesteld dat de in 2011 door de Raad van Europa aangenomen "Conventie van Istanbul" in strijd is met de Bulgaarse grondwet. De gender-ideologie beroept zich op deze conventie met haar wetenschappelijk onhoudbare veronderstelling dat de geslachtenverdeling - man en vrouw - niet biologisch gebaseerd is, maar zich in tegendeel enkel door de sociale rollen heeft ontwikkeld. Omdat daardoor de biologische grens tussen mannen en vrouwen wordt gerelativeerd, oordeelde het Bulgaarse Grondwettelijk Hof dat de “Conventie van Istanbul” ongrondwettelijk is. Als gevolg daarvan besloot de Bulgaarse regering om het vakgebied “Gender studies” aan haar universiteiten af te schaffen. Op dezelfde manier had Hongarije dit studievak al van zijn universiteiten verbannen. Voor de Hongaarse regering is de gender-ideologie een aanval op de traditionele rolverdeling en vormt zij een bedreiging voor de fundamenten van christelijke families. Er zijn duidelijk nog rechters en regeringen die de waarden die in hun grondwet zijn verankerd, beschermen en bewaren tegen invloeden van buitenaf. Bravo, Bulgarije en Hongarije!</w:t>
        <w:br/>
        <w:t xml:space="preserve"/>
        <w:br/>
        <w:t xml:space="preserve">*geslachtsstudies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mwi./hag.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#Gender - </w:t>
      </w:r>
      <w:hyperlink w:history="true" r:id="rId21">
        <w:r w:rsidRPr="00F24C6F">
          <w:rPr>
            <w:rStyle w:val="Hyperlink"/>
          </w:rPr>
          <w:t>www.kla.tv/Gender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Gedaan met: “gender studies” in Bulgarije en Hongarije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www.kla.tv/14296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17.05.2019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nde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9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Gedaan met: “gender studies” in Bulgarije en Hongarije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