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26ad8c501e497e" /><Relationship Type="http://schemas.openxmlformats.org/package/2006/relationships/metadata/core-properties" Target="/package/services/metadata/core-properties/e2236f45a89847e4b68e9cd2b5416812.psmdcp" Id="Re6ae0f890a314a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Gedaan met: “gender studies” in Bulgarije en Hongarije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Eind juli 2018 had het Grondwettelijk Hof van Bulgarije vastgesteld dat de in 2011 door de Raad van Europa aangenomen "Conventie van Istanbul" in strijd is met de Bulgaarse grondwet. De gender-ideologie beroept zich op deze conventie met haar wetenschappelijk onhoudbare veronderstelling dat de geslachtenverdeling - man en vrouw - niet biologisch gebaseerd is, maar zich in tegendeel enkel door de sociale rollen heeft ontwikkeld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Eind juli 2018 had het Grondwettelijk Hof van Bulgarije vastgesteld dat de in 2011 door de Raad van Europa aangenomen "Conventie van Istanbul" in strijd is met de Bulgaarse grondwet. De gender-ideologie beroept zich op deze conventie met haar wetenschappelijk onhoudbare veronderstelling dat de geslachtenverdeling - man en vrouw - niet biologisch gebaseerd is, maar zich in tegendeel enkel door de sociale rollen heeft ontwikkeld. Omdat daardoor de biologische grens tussen mannen en vrouwen wordt gerelativeerd, oordeelde het Bulgaarse Grondwettelijk Hof dat de “Conventie van Istanbul” ongrondwettelijk is. Als gevolg daarvan besloot de Bulgaarse regering om het vakgebied “Gender studies” aan haar universiteiten af te schaffen. Op dezelfde manier had Hongarije dit studievak al van zijn universiteiten verbannen. Voor de Hongaarse regering is de gender-ideologie een aanval op de traditionele rolverdeling en vormt zij een bedreiging voor de fundamenten van christelijke families. Er zijn duidelijk nog rechters en regeringen die de waarden die in hun grondwet zijn verankerd, beschermen en bewaren tegen invloeden van buitenaf. Bravo, Bulgarije en Hongarije!</w:t>
        <w:br/>
        <w:t xml:space="preserve"/>
        <w:br/>
        <w:t xml:space="preserve">*geslachtsstudies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mwi./hag.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#Gender - </w:t>
      </w:r>
      <w:hyperlink w:history="true" r:id="rId21">
        <w:r w:rsidRPr="00F24C6F">
          <w:rPr>
            <w:rStyle w:val="Hyperlink"/>
          </w:rPr>
          <w:t>www.kla.tv/Gender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Gedaan met: “gender studies” in Bulgarije en Hongarije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www.kla.tv/14296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nde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9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Gedaan met: “gender studies” in Bulgarije en Hongarije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