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4e667c63604191" /><Relationship Type="http://schemas.openxmlformats.org/package/2006/relationships/metadata/core-properties" Target="/package/services/metadata/core-properties/62c01d1a8cde48a686dea8d22f3c277f.psmdcp" Id="R6422e8cb2a4548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Pension pour des dommages causés par la vaccination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2009, le monde entier a été mis en garde contre la grippe porcine et il a été conseillé de se faire vacciner. Une fillette de 12 ans a été vaccinée contre la grippe porcine et souffre depuis lors d'une grave maladie du sommeil. Mais qui va maintenant payer la pension mensuelle accordée par le tribunal social de Coblence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2009, on a mis le monde entier en garde contre la grippe porcine H1N1 et on a préconisé la vaccination à l’échelle mondiale, des conseils qu’a suivis une plaignante âgée de 12 ans à l’époque. Par la suite, de la fatigue et d’autres symptômes sont apparus, qui n’ont été reconnus que des années plus tard comme des indices d’une maladie du sommeil chronique (narcolepsie). Depuis le tribunal social de Coblence a accordé à la plaignante une pension de 326 euros par mois.</w:t>
        <w:br/>
        <w:t xml:space="preserve">Mais comment est-ce possible que les coûts de la pension mensuelle soient supportés par le contribuable alors que l'industrie pharmaceutique responsable ne fait qu’encaisser des profits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www.rheinpfalz.de/lokal/artikel/kaiserslautern-kind-bekommt-nach-impfschaden-versorgungsrente/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#IndustriePharmaceutique - pharmaceutique - </w:t>
      </w:r>
      <w:hyperlink w:history="true" r:id="rId23">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Pension pour des dommages causés par la vaccination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heinpfalz.de/lokal/artikel/kaiserslautern-kind-bekommt-nach-impfschaden-versorgungsrente/" TargetMode="External" Id="rId21" /><Relationship Type="http://schemas.openxmlformats.org/officeDocument/2006/relationships/hyperlink" Target="https://www.kla.tv/Vaccination-fr" TargetMode="External" Id="rId22" /><Relationship Type="http://schemas.openxmlformats.org/officeDocument/2006/relationships/hyperlink" Target="https://www.kla.tv/IndustriePharmaceu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Pension pour des dommages causés par la vaccination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