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1605282c8647f3" /><Relationship Type="http://schemas.openxmlformats.org/package/2006/relationships/metadata/core-properties" Target="/package/services/metadata/core-properties/181ed6e7d96b4aee9ed4b588fbd1f7db.psmdcp" Id="Rd4b823df4d8048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TOKEN-Studie: Erhöhtes Sterberisiko nach 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Zeitraum von 2005 bis 2008 untersuchte das Robert-Koch-Institut (RKI) alle Sterbefälle bei Babys im Alter zwischen 2 und 24 Monaten...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Zeitraum von 2005 bis 2008</w:t>
        <w:br/>
        <w:t xml:space="preserve">untersuchte das Robert-Koch-Institut</w:t>
        <w:br/>
        <w:t xml:space="preserve">(RKI) alle Sterbefälle bei Babys</w:t>
        <w:br/>
        <w:t xml:space="preserve">im Alter zwischen 2 und 24 Monaten.</w:t>
        <w:br/>
        <w:t xml:space="preserve">Die Ergebnisse sollten 2009</w:t>
        <w:br/>
        <w:t xml:space="preserve">veröffentlicht werden. Mit zwei Jahren</w:t>
        <w:br/>
        <w:t xml:space="preserve">Verspätung war es nun endlich</w:t>
        <w:br/>
        <w:t xml:space="preserve">soweit. Die Resultate der TOKENStudie</w:t>
        <w:br/>
        <w:t xml:space="preserve">sind auf der Homepage des</w:t>
        <w:br/>
        <w:t xml:space="preserve">RKI nachzulesen. Und nun scheint</w:t>
        <w:br/>
        <w:t xml:space="preserve">auch klar, warum die Publikation</w:t>
        <w:br/>
        <w:t xml:space="preserve">der Daten so lange verzögert wurde:</w:t>
        <w:br/>
        <w:t xml:space="preserve">Es zeigte sich nämlich, dass das</w:t>
        <w:br/>
        <w:t xml:space="preserve">Sterberisiko im Zeitraum von zwei</w:t>
        <w:br/>
        <w:t xml:space="preserve">Wochen nach einer Sechsfach-Impfung</w:t>
        <w:br/>
        <w:t xml:space="preserve">– im Vergleich zu den Monaten</w:t>
        <w:br/>
        <w:t xml:space="preserve">danach – um das Dreifache erhöht</w:t>
        <w:br/>
        <w:t xml:space="preserve">war.</w:t>
        <w:br/>
        <w:t xml:space="preserve">(Jetzt fehlt nur noch die letzte Klarheit</w:t>
        <w:br/>
        <w:t xml:space="preserve">darüber, woran eigentlich all</w:t>
        <w:br/>
        <w:t xml:space="preserve">die übrigen Babys starben … etwa</w:t>
        <w:br/>
        <w:t xml:space="preserve">aus ähnlichen Gründen?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http://ehgartner.blogspot.com/2011/03/token-studie-dreifach-erhohtes.html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TOKEN-Studie: Erhöhtes Sterberisiko nach 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hgartner.blogspot.com/2011/03/token-studie-dreifach-erhohtes.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TOKEN-Studie: Erhöhtes Sterberisiko nach 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