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a6e711a604ace" /><Relationship Type="http://schemas.openxmlformats.org/package/2006/relationships/metadata/core-properties" Target="/package/services/metadata/core-properties/2e1930f7262949439ae09d0d620bb75d.psmdcp" Id="R464d768e7eac47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TV: Amazon ve Google gözetliyor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"Pretense Suçu" ile ne kastedilmektedir? Dünyadaki en yaygın ve zararlı suç şekli haline gelmesine rağmen, insanların çoğunluğu tarafından zar zor tanınmaktadır.
"Pretense Suçu" nu şöylece anlatabiliriz, bir avantaj elde etmek için acımadan birinin bilerek ve sinsice aldatanlardır.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"Pretense Suçu" ile ne kastedilmektedir? Dünyadaki en yaygın ve zararlı suç şekli haline gelmesine rağmen, insanların çoğunluğu tarafından zar zor tanınmaktadır.</w:t>
        <w:br/>
        <w:t xml:space="preserve">"Pretense Suçu" nu şöylece anlatabiliriz, bir avantaj elde etmek için acımadan birinin bilerek ve sinsice aldatanlardır. </w:t>
        <w:br/>
        <w:t xml:space="preserve">Bencil hedeflere ulaşmak için, yalnızca insancıl veya çevresel bahaneler kaldıraç olarak kullanılır.</w:t>
        <w:br/>
        <w:t xml:space="preserve">İşte diğerleri arasında küçük bir örnek: TV'lerin sadece görüntü gösterdiği zaman geride kalmakta. Bugünün televizyonları, genellikle internete bağlı bilgisayarlardır.</w:t>
        <w:br/>
        <w:t xml:space="preserve">Bilgisayar dergisi "C't" den sunulan yeni bir teste göre bugünün akıllı TV'lerinin Microsoft, Google, Facebook, Netflix veya Amazon gibi yurtdışı internet sunucularına kişiselverileri ilettiğini gösteriyor.</w:t>
        <w:br/>
        <w:t xml:space="preserve"/>
        <w:br/>
        <w:t xml:space="preserve">Aslında, Akıllı TV'lerin uygulanması sırasında, tüketicileri korumak amacıyla veri aktarımına yasak vardı.</w:t>
        <w:br/>
        <w:t xml:space="preserve"> Bu casuslukla nasıl başedebilirsiniz? </w:t>
        <w:br/>
        <w:t xml:space="preserve">Basitçe,  televizyonlarınızdan uzaklaşarak ve bağımsız haber sitemiz Kla.TV medyamızın gelişmesine yardım ederek size bağişlanmış olan zamanızı değerlendirebilirsiniz!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 </w:t>
        <w:rPr>
          <w:sz w:val="18"/>
        </w:rPr>
      </w:r>
      <w:r w:rsidR="0026191C">
        <w:rPr/>
        <w:br/>
      </w:r>
      <w:r w:rsidRPr="002B28C8">
        <w:t xml:space="preserve">Ktipp vom 16.01.2019, Seite 9 | Computerzeitschrift „C’t“( 25/2018)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TV: Amazon ve Google gözetliyor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www.kla.tv/14841</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1"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TV: Amazon ve Google gözetliyor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