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6edc0babc04473" /><Relationship Type="http://schemas.openxmlformats.org/package/2006/relationships/metadata/core-properties" Target="/package/services/metadata/core-properties/5f67698ddc1e4fa4b5b910b2e2401632.psmdcp" Id="R4872fc16e2fa43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Child care economic factor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Mr. Moritz, initiator and co-founder of the association “Children are humans”, the assertion often used by the Youth Welfare Office that the taking into care of children costs the state a lot of money, is a lie. In truth, the “care industry” sector has an annual business volume of billions.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When staff of the Youth Welfare Office in Germany are asked about the continuously rising numbers of children taken into custody, often the answer is that “not too many children are placed in foster care, because this would cost the state a lot of money”.</w:t>
        <w:br/>
        <w:t xml:space="preserve">Mr. Moritz who has been deeply concerned since 2010 with the issue of the “arbitrary or illegal taking into custody of children”, calls this statement a “super-lie”.</w:t>
        <w:br/>
        <w:t xml:space="preserve">Because parents or grand-parents or later on the grown up child will have to pay in full for the costs of the placement in foster care. </w:t>
        <w:br/>
        <w:t xml:space="preserve">The costs for a child accommodated in a home since birth until the age of 18, can sum up to one million Euro. </w:t>
        <w:br/>
        <w:t xml:space="preserve">Mr. Moritz speaks of a 40 billion annual business volume of the “care industry”, which in turn brings tax revenue to the state. This is a considerable economic factor, which none of the profiteers would like to give 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www.anti-zensur.info/azk13/geschaeftmitkindern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Child care economic factor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www.kla.tv/14853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3/geschaeftmitkinder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5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Child care economic factor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