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d130d92ae8498f" /><Relationship Type="http://schemas.openxmlformats.org/package/2006/relationships/metadata/core-properties" Target="/package/services/metadata/core-properties/7b7cc4a28da34b7d9f12f5f9eb5cc10e.psmdcp" Id="Re4df2051001b45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 Frontal attack on our ecosystem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mobile telecommunications lobby promises unprecedented possibilities with the expansion of the 5G network - but at what price? A Swiss young farmer reports her experiences with a much better communication system: Nature.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5G – Frontal attack on our ecosystem</w:t>
        <w:br/>
        <w:t xml:space="preserve"/>
        <w:br/>
        <w:t xml:space="preserve">In the newspaper "Schweizer Bauer" appeared on March 23, 2019</w:t>
        <w:br/>
        <w:t xml:space="preserve">the following letter to the editor of a young woman farmer: “The mobile communications lobby promises us unprecedented opportunities with the expansion of the 5G network, because suddenly all objects, including us humans, can communicate with each other. My fridge, for example, can notify me when the milk bottle is empty. Great, but at what price? Believe me, I know a much better communication system. It is nature that teaches me anew day after day that the entire life of the soil, everything that grows and grazes on earth, communicates and interacts with each other as if they were one. But it is precisely this system that is now to be exposed to an unprecedented radiation environment through an economically controlled human hand […]. No, thanks! We don’t need this. What we humans need is a connection to nature that shows us that we have long been part of a perfect communication system! That’s why we won’t allow our farms and all associated living creatures to be exposed to this irresponsible 5G experiment.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Schweizer Bauer, 23.03.2019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 Frontal attack on our ecosystem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www.kla.tv/14963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27.09.2019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6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 Frontal attack on our ecosystem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