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8c5a4795fb4809" /><Relationship Type="http://schemas.openxmlformats.org/package/2006/relationships/metadata/core-properties" Target="/package/services/metadata/core-properties/48d482a10f5440008d1ce33c38b30f8f.psmdcp" Id="R0e407f5968e840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Kuba widersteht der US-Einmischung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großer Mehrheit bestätigt Kubas Bevölkerung die neue Verfassung. US-Außenamtschef Mike Pompeo verunglimpft den Volksentscheid, doch Kuba spricht klare und entscheidende Worte.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16. November 2019, feiert Kuba den 500. Gründungstag seiner Hauptstadt Havanna. Wir nehmen dies zum Anlass, heute einmal einen kleinen Blick in dieses Land zu werfen. </w:t>
        <w:br/>
        <w:t xml:space="preserve">Anfang März diesen Jahres bestätigte Kubas Bevölkerung die neue Verfassung des Landes mit großer Mehrheit. Laut der nationalen Wahlkommission (CEN) votierten 86,8 % der Wähler mit „Ja“. Dies entspricht rund 73,3 % aller Wahlberechtigten. </w:t>
        <w:br/>
        <w:t xml:space="preserve">US-Außenamtschef Mike Pompeo verunglimpfte jedoch den Volksentscheid als sorgfältig gesteuertes politisches Theater und als Unterdrückung der öffentlichen Debatte. Kubas Regierung hat diese offizielle Stellungnahme des US-Außenministeriums als „Ausdruck der imperialistischen Ideologie, die tief in der Außenpolitik der derzeitigen US-Regierung verwurzelt ist“, bezeichnet.</w:t>
        <w:br/>
        <w:t xml:space="preserve">Die Kubaner hätten seit langem jeglichen Anspruch der USA, das Schicksal ihres Landes zu bestimmen, ein für alle Mal abgelehnt, so das kubanische Außenministerium in einem Kommuniqué. Die US-Administration solle aufhören, sich in die inneren Angelegenheiten und in die Wahlprozesse anderer Nationen einzumischen.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https://amerika21.de/2019/03/223028/kuba-weist-us-einmischung-zurueck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#Kuba - </w:t>
      </w:r>
      <w:hyperlink w:history="true" r:id="rId22">
        <w:r w:rsidRPr="00F24C6F">
          <w:rPr>
            <w:rStyle w:val="Hyperlink"/>
          </w:rPr>
          <w:t>www.kla.tv/Kuba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Kuba widersteht der US-Einmischung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3/223028/kuba-weist-us-einmischung-zurueck" TargetMode="External" Id="rId21" /><Relationship Type="http://schemas.openxmlformats.org/officeDocument/2006/relationships/hyperlink" Target="https://www.kla.tv/Kub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Kuba widersteht der US-Einmischung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