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04c3d6764f4f70" /><Relationship Type="http://schemas.openxmlformats.org/package/2006/relationships/metadata/core-properties" Target="/package/services/metadata/core-properties/250eaa8fd1f64ced9ec3e0dffa585bfe.psmdcp" Id="R0751590c2fba4f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Televizoare inteligente: Amazon şi Google ne vizionează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 înţelegeţi prin „criminalitate pretextuală”?
Deşi ea s-a dezvoltat pe plan mondial şi a ajuns cea mai populară şi mai dăunătoare formă a criminalităţii, totuşi nu este recunoscută de cea mai mare parte a populaţiei.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 înţelegeţi prin „criminalitate pretextuală”?</w:t>
        <w:br/>
        <w:t xml:space="preserve">Deşi ea s-a dezvoltat pe plan mondial şi a ajuns cea mai populară şi mai dăunătoare formă a criminalităţii, totuşi nu este recunoscută de cea mai mare parte a populaţiei. Sub criminalitate pretextuală se înţelege înşelarea aproapelui în mod intenţionat şi perfid pentru obţinerea avantajelor personale. Cu scopul de a atinge ţeluri egoiste sunt folosite în exclusivitate pretexte umane şi ecologice ca mijloc de presiuni. </w:t>
        <w:br/>
        <w:t xml:space="preserve">Vedeţi în continuare un mic exemplu din multe altele: Vremurile în care micile ecrane transmiteau doar imagini sunt de domeniul trecutului. Televizoarele de astăzi sunt computere, adesea conectate la internet. Un test actual efectuat de revista pentru computere „C’t“ arată că actualele televizoare inteligente transferă date pe servere din străinătate ca de exemplu  Microsoft, Google, Facebook, Netflix sau Amazon. Aceasta, chiar dacă la configurarea televizoarelor inteligente transferul de date a fost interzis. Cum să eviţi acest spionaj? Simplu, renunţând la televizor şi investind timpul astfel câştigat pe Kla.TV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Ktipp vom 16.01.2019, Seite 9 | Computerzeitschrift „C’t“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Televizoare inteligente: Amazon şi Google ne vizionează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www.kla.tv/15615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28.01.2020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1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Televizoare inteligente: Amazon şi Google ne vizionează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