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c97831a6214a6a" /><Relationship Type="http://schemas.openxmlformats.org/package/2006/relationships/metadata/core-properties" Target="/package/services/metadata/core-properties/d5412165afe34175904abcc28736c129.psmdcp" Id="Rb5261157114f40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Sparlampen Betrug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dass jede Kompaktleuchtstofflampe bis zu 5 mg hochgiftiges Quecksilber enthält?...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Wussten Sie,</w:t>
        <w:br/>
        <w:t xml:space="preserve">  dass  jede  Kompaktleuchtstofflampe  bis  zu  5  mg </w:t>
        <w:br/>
        <w:t xml:space="preserve">hochgiftiges  Quecksilber </w:t>
        <w:br/>
        <w:t xml:space="preserve">enthält  und  daher  als  Sondermüll  entsorgt  werden </w:t>
        <w:br/>
        <w:t xml:space="preserve">muss?</w:t>
        <w:br/>
        <w:t xml:space="preserve">  dass  das  belgische  Forschungsinstitut  VITO  davon ausgeht, dass 80% der </w:t>
        <w:br/>
        <w:t xml:space="preserve">verbrauchten  Lampen  dennoch im Haushaltsmüll landen  werden  …  und  das </w:t>
        <w:br/>
        <w:t xml:space="preserve">Quecksilber  somit  in  der </w:t>
        <w:br/>
        <w:t xml:space="preserve">Umwelt?</w:t>
        <w:br/>
        <w:t xml:space="preserve">  dass das in der EU jährlich </w:t>
        <w:br/>
        <w:t xml:space="preserve">ca. 150 Tonnen sind – hochgiftiges  Schwermetall,  das </w:t>
        <w:br/>
        <w:t xml:space="preserve">in  der  Umwelt  landet  und </w:t>
        <w:br/>
        <w:t xml:space="preserve">Grundwasser,  Pflanzen, </w:t>
        <w:br/>
        <w:t xml:space="preserve">Tiere und Menschen vergiftet?</w:t>
        <w:br/>
        <w:t xml:space="preserve">  dass  herkömmliche  Glühbirnen sogar umweltfreundlicher  sind  als  die  Energiesparlampen?</w:t>
        <w:br/>
        <w:t xml:space="preserve">  dass uns  die  Glühbirne  unter  EU-Diktat  unter  Umgehung aller Parlamente weggenommen wurde?</w:t>
        <w:br/>
        <w:t xml:space="preserve">  dass eine solche Bevormundung in dieser Form bisher </w:t>
        <w:br/>
        <w:t xml:space="preserve">einmalig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Depesche „Mehr wissen – besser  leben“ 04/2012, „Strahlendes  Quecksilber – worüber bei der Einfüh- rung der Energiesparlampen nichts  gesagt wurde!“ von Hans Bschorr,  Ute Binder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Sparlampen Betrug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Sparlampen Betrug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