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ae9eeb8334411c" /><Relationship Type="http://schemas.openxmlformats.org/package/2006/relationships/metadata/core-properties" Target="/package/services/metadata/core-properties/1621c50eb6f94ae8bf92c68948d759dd.psmdcp" Id="R4cd0f541c4ff41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Afaceri lucrative cu ochii noştri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Dacă la sfârşitul primului trimestru din 2019 întreprinderea farmaceutică specializată pe oftalmologie pe nume Alcon poate anunţa cu mândrie că a realizat 1,8 miliarde de dolari, se pune întrebarea: cum i-a reuşit aceasta în doar trei luni?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Dacă la sfârşitul primului trimestru din 2019 întreprinderea farmaceutică specializată pe oftalmologie pe nume Alcon poate anunţa cu mândrie că a realizat 1,8 miliarde de dolari, se pune întrebarea: cum i-a reuşit aceasta în doar trei luni? Câţi ochi trebuie să se îmbolnăvească pentru a câştiga 1.800 de milioane? Căci nu vorbim aici de câştigurile industriei farmaceutice, obţinute prin tratamentul unor oameni bolnavi în general, ci doar de sectorul oftalmologiei. Alcon aparţinea în aprilie 2019 încă de Novartis. Că firma posedă simţ pentru afaceri profitabile rezultă din faptul că acţiunile Alcon au crescut cu o lună în urmă cu 12%. Cifrele menţionate şi faptul că această afacere colosală a ajuns la bursă în urma separării de Novartis nasc întrebarea dacă aceste preparate Novartis, acum Alcon, nu conţin oare indicatori care provoacă reacţii în lanţ, provocând la rândul lor probleme oftalmologice...? O analiză chimico-microscopică efectuată de specialişti independenţi de industria farmaceutică ar aduce elucidare în acest caz.</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SRF 1, 8:00 Uhr Nachrichten vom 16.5.2019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Afaceri lucrative cu ochii noştri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www.kla.tv/16181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20.04.2020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8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Afaceri lucrative cu ochii noştri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