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e6c4f1a00343a7" /><Relationship Type="http://schemas.openxmlformats.org/package/2006/relationships/metadata/core-properties" Target="/package/services/metadata/core-properties/2c6b5ec8a8ca4bd1a119d0ccec03d95e.psmdcp" Id="R3148c2165df24a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Definition Tod - Hirntod: eine Gegenüberstellung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Mensch ist dann tot, wenn sein Herz und seine Atmung irreversibel zum Stillstand gekommen sind und Geist und Seele den Körper endgültig verlassen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Mensch ist dann tot, wenn sein Herz und</w:t>
        <w:br/>
        <w:t xml:space="preserve">seine Atmung irreversibel zum Stillstand</w:t>
        <w:br/>
        <w:t xml:space="preserve">gekommen sind und Geist und Seele den</w:t>
        <w:br/>
        <w:t xml:space="preserve">Körper endgültig verlassen haben.</w:t>
        <w:br/>
        <w:t xml:space="preserve">Folge:</w:t>
        <w:br/>
        <w:t xml:space="preserve">Der Körper erkaltet, Totenflecken zeigen</w:t>
        <w:br/>
        <w:t xml:space="preserve">sich, die Leichenstarre stellt sich ein, der</w:t>
        <w:br/>
        <w:t xml:space="preserve">Verwesungsprozess beginnt.</w:t>
        <w:br/>
        <w:t xml:space="preserve"/>
        <w:br/>
        <w:t xml:space="preserve">Die Harvard Ad-hoc Kommission definierte</w:t>
        <w:br/>
        <w:t xml:space="preserve">1968 nach Ermittlungen der Staatsanwaltschaft</w:t>
        <w:br/>
        <w:t xml:space="preserve">wegen vorsätzlicher Tötung gegen Transplantationsmediziner</w:t>
        <w:br/>
        <w:t xml:space="preserve">den Tod eines Menschen</w:t>
        <w:br/>
        <w:t xml:space="preserve">neu:</w:t>
        <w:br/>
        <w:t xml:space="preserve">Ein Mensch ist dann tot, wenn sein Gehirn</w:t>
        <w:br/>
        <w:t xml:space="preserve">irreversibel zerstört ist. (In der Fachsprache</w:t>
        <w:br/>
        <w:t xml:space="preserve">nennt man den Zustand des Menschen „coma</w:t>
        <w:br/>
        <w:t xml:space="preserve">dépassé”, was „endgültiges Koma” heißt.)</w:t>
        <w:br/>
        <w:t xml:space="preserve">Es handelt sich um einen „lebenden Leichnam”,</w:t>
        <w:br/>
        <w:t xml:space="preserve">dessen Herz noch schlägt und den gesamten</w:t>
        <w:br/>
        <w:t xml:space="preserve">Kreislauf aufrecht erhält. Der Körper</w:t>
        <w:br/>
        <w:t xml:space="preserve">ist voll durchblutet, ist normal warm temperiert</w:t>
        <w:br/>
        <w:t xml:space="preserve">und es findet ein Stoffwechsel statt. Auch das</w:t>
        <w:br/>
        <w:t xml:space="preserve">funktionsunfähige Gehirn ist durchblutet, nicht</w:t>
        <w:br/>
        <w:t xml:space="preserve">erkaltet, nicht in einen Verwesungsprozess</w:t>
        <w:br/>
        <w:t xml:space="preserve">übergegangen.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http://www.subventionsberater.de/sterben/warei.htm</w:t>
        </w:r>
      </w:hyperlink>
      <w:r w:rsidRPr="002B28C8">
        <w:t xml:space="preserve">Richard Fuchs, Eine Kurzgeschichte des „Hirntodes“, </w:t>
        <w:rPr>
          <w:sz w:val="18"/>
        </w:rPr>
      </w:r>
      <w:hyperlink w:history="true" r:id="rId22">
        <w:r w:rsidRPr="00F24C6F">
          <w:rPr>
            <w:rStyle w:val="Hyperlink"/>
          </w:rPr>
          <w:rPr>
            <w:sz w:val="18"/>
          </w:rPr>
          <w:t>http://www.oeptc.at/fachbereich/hirntod/Hirntod.html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3">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Definition Tod - Hirntod: eine Gegenüberstellung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bventionsberater.de/sterben/warei.htm" TargetMode="External" Id="rId21" /><Relationship Type="http://schemas.openxmlformats.org/officeDocument/2006/relationships/hyperlink" Target="http://www.oeptc.at/fachbereich/hirntod/Hirntod.html" TargetMode="External" Id="rId22" /><Relationship Type="http://schemas.openxmlformats.org/officeDocument/2006/relationships/hyperlink" Target="https://www.kla.tv/Organspen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Definition Tod - Hirntod: eine Gegenüberstellung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