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62d79b9cf94a00" /><Relationship Type="http://schemas.openxmlformats.org/package/2006/relationships/metadata/core-properties" Target="/package/services/metadata/core-properties/f3bb9005cac744dcbddb45f3b0b06247.psmdcp" Id="Rb753dd0ffd6645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Sclavie modernă prin produse ieftine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Iluminatorul german Michael Kent publică de aproape 20 de ani „Depeşa Kent”. Ediţia din 15 iulie 2019 se intitulează „Săraca Germanie! Săraca lume!” Autorul scrie că trei lucruri, pe care el le denumeşte  "trio diabolic" cauzează producţia produselor ieftine: 1. distrugerea mediului, 2. cruzimea față de animale și 3. exploatarea oamenilor (inclusiv salarii insuficiente, sărăcie, reducerea locurilor de muncă și daune pentru sănătate).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Iluminatorul german Michael Kent publică de aproape 20 de ani „Depeşa Kent”. Ediţia din 15 iulie 2019 se intitulează „Săraca Germanie! Săraca lume!” Autorul scrie că trei lucruri, pe care el le denumeşte  "trio diabolic" cauzează producţia produselor ieftine: 1. distrugerea mediului, 2. cruzimea față de animale și 3. exploatarea oamenilor (inclusiv salarii insuficiente, sărăcie, reducerea locurilor de muncă și daune pentru sănătate). În opinia sa, produsele ieftine, pe lângă politica greșită și sistemul datoriilor, sunt principalul motiv pentru creșterea sărăciei în rândul populației și pentru creșterea decalajului între bogați și săraci.  </w:t>
        <w:br/>
        <w:t xml:space="preserve"> </w:t>
        <w:br/>
        <w:t xml:space="preserve">Chestiunea cu  prețurile  ieftine este însă sofisticată și greu de înțeles: o formă aproape perfectă de suprimare, adică o formă de înrobire împotriva căreia nimeni nu se revoltă! Căci cine are ceva împotriva prețurilor mici? Acestea par chiar de dorit pentru cetățeanul de rând. Puțini sunt conștienți că trăim în epoca modernă a sclaviei prețurilor ieftine și a duratei scurte de viață a produselor. Dictatura mondială a corporațiilor nu poate eșua decât dacă așa-numiții „oameni mici” înțeleg cât de important este să plătești prețuri calculate în mod fair și corect pentru produse permanent durabile. Conştientizarea acestui fapt trebuie trezită!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Kent-Depesche, 11-13/2019, S. 7,32,40+44 </w:t>
        <w:rPr>
          <w:sz w:val="18"/>
        </w:rPr>
      </w:r>
      <w:hyperlink w:history="true" r:id="rId21">
        <w:r w:rsidRPr="00F24C6F">
          <w:rPr>
            <w:rStyle w:val="Hyperlink"/>
          </w:rPr>
          <w:rPr>
            <w:sz w:val="18"/>
          </w:rPr>
          <w:t>https://www.globalisierung-fakten.de/globalisierung-informationen/globalisierung-und-arbeitslosigkeit/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Sclavie modernă prin produse ieftine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www.kla.tv/16979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07.08.2020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isierung-fakten.de/globalisierung-informationen/globalisierung-und-arbeitslosigke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7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Sclavie modernă prin produse ieftine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