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168c041513498e" /><Relationship Type="http://schemas.openxmlformats.org/package/2006/relationships/metadata/core-properties" Target="/package/services/metadata/core-properties/34d7d86e5aeb49d19588074bd366591f.psmdcp" Id="R8fdd94fcb9d842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L'Alliance pour l'abolition de l'argent liquide pousse à l'abolition de la liberté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L'alliance « Better Than Cash » (Mieux que de l'argent liquide) veut favoriser le passage du paiement en espèces au paiement numérique. Mais qui est derrière cette association et quel en est le but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Fondée en 2012, la Better Than Cash Alliance - «  Alliance Mieux que l’argent liquide » - est une association mondiale de gouvernements, d'entreprises et d'organisations internationales qui vise à accélérer le passage des paiements en espèces aux paiements numériques. Elle est financée par la Fondation Bill et Melinda Gates, la Citibank, Mastercard et Visa, entre autres. </w:t>
        <w:br/>
        <w:t xml:space="preserve">Mais il n'y a pas que les groupes financiers qui ont intérêt à ce que l'argent liquide soit aboli. Le gouvernement allemand a également soutenu le projet, de 2016 à 2018, avec un total de 500 000 euros. </w:t>
        <w:br/>
        <w:t xml:space="preserve">Cela n’est pas étonnant, car l’abolition de l'argent liquide permet une surveillance et un contrôle nettement plus importants, voire une mainmise sur la circulation de l'argent et donc, bien sûr, sur les citoyens.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2020-47 Art. 8</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L'alliance  « Better than cash " et ses objectifs »</w:t>
        <w:rPr>
          <w:sz w:val="18"/>
        </w:rPr>
      </w:r>
      <w:r w:rsidR="0026191C">
        <w:rPr/>
        <w:br/>
      </w:r>
      <w:hyperlink w:history="true" r:id="rId21">
        <w:r w:rsidRPr="00F24C6F">
          <w:rPr>
            <w:rStyle w:val="Hyperlink"/>
          </w:rPr>
          <w:rPr>
            <w:sz w:val="18"/>
          </w:rPr>
          <w:t>https://de.wikipedia.org/wiki/Better_Than_Cash_Alliance</w:t>
        </w:r>
      </w:hyperlink>
      <w:r w:rsidR="0026191C">
        <w:rPr/>
        <w:br/>
      </w:r>
      <w:hyperlink w:history="true" r:id="rId22">
        <w:r w:rsidRPr="00F24C6F">
          <w:rPr>
            <w:rStyle w:val="Hyperlink"/>
          </w:rPr>
          <w:rPr>
            <w:sz w:val="18"/>
          </w:rPr>
          <w:t>http://betterthancash.org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3">
        <w:r w:rsidRPr="00F24C6F">
          <w:rPr>
            <w:rStyle w:val="Hyperlink"/>
          </w:rPr>
          <w:t>www.kla.tv/AbolitionArgentLiquide</w:t>
        </w:r>
      </w:hyperlink>
      <w:r w:rsidR="0026191C">
        <w:rPr/>
        <w:br/>
      </w:r>
      <w:r w:rsidR="0026191C">
        <w:rPr/>
        <w:br/>
      </w:r>
      <w:r w:rsidRPr="002B28C8">
        <w:t xml:space="preserve">#SystemeFinancier - L'argent dirige le monde... - </w:t>
      </w:r>
      <w:hyperlink w:history="true" r:id="rId24">
        <w:r w:rsidRPr="00F24C6F">
          <w:rPr>
            <w:rStyle w:val="Hyperlink"/>
          </w:rPr>
          <w:t>www.kla.tv/SystemeFinancier</w:t>
        </w:r>
      </w:hyperlink>
      <w:r w:rsidR="0026191C">
        <w:rPr/>
        <w:br/>
      </w:r>
      <w:r w:rsidR="0026191C">
        <w:rPr/>
        <w:br/>
      </w:r>
      <w:r w:rsidRPr="002B28C8">
        <w:t xml:space="preserve">#ArgentLiquide - liquide - </w:t>
      </w:r>
      <w:hyperlink w:history="true" r:id="rId25">
        <w:r w:rsidRPr="00F24C6F">
          <w:rPr>
            <w:rStyle w:val="Hyperlink"/>
          </w:rPr>
          <w:t>www.kla.tv/ArgentLiquide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L'Alliance pour l'abolition de l'argent liquide pousse à l'abolition de la liberté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www.kla.tv/18033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Better_Than_Cash_Alliance" TargetMode="External" Id="rId21" /><Relationship Type="http://schemas.openxmlformats.org/officeDocument/2006/relationships/hyperlink" Target="http://betterthancash.org" TargetMode="External" Id="rId22" /><Relationship Type="http://schemas.openxmlformats.org/officeDocument/2006/relationships/hyperlink" Target="https://www.kla.tv/AbolitionArgentLiquide" TargetMode="External" Id="rId23" /><Relationship Type="http://schemas.openxmlformats.org/officeDocument/2006/relationships/hyperlink" Target="https://www.kla.tv/SystemeFinancier" TargetMode="External" Id="rId24" /><Relationship Type="http://schemas.openxmlformats.org/officeDocument/2006/relationships/hyperlink" Target="https://www.kla.tv/ArgentLiquid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3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L'Alliance pour l'abolition de l'argent liquide pousse à l'abolition de la liberté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