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9f22c49a845c6" /><Relationship Type="http://schemas.openxmlformats.org/package/2006/relationships/metadata/core-properties" Target="/package/services/metadata/core-properties/6443b181edb64855aee2c127d2617261.psmdcp" Id="R0c7b851f3fe142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US-Regierung verletzt Menschenrechte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„Unmittelbar nach den Anschlägen vom 11.9.2001 beauftragte US-Vizepräsident Cheney ganze Kohorten von Rechtswissenschaftlern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„Unmittelbar nach den Anschlägen</w:t>
        <w:br/>
        <w:t xml:space="preserve">vom 11.9.2001 beauftragte</w:t>
        <w:br/>
        <w:t xml:space="preserve">US-Vizepräsident Cheney</w:t>
        <w:br/>
        <w:t xml:space="preserve">ganze Kohorten von</w:t>
        <w:br/>
        <w:t xml:space="preserve">Rechtswissenschaftlern, in völliger</w:t>
        <w:br/>
        <w:t xml:space="preserve">Geheimhaltung, juristische</w:t>
        <w:br/>
        <w:t xml:space="preserve">Rechtfertigungen für die</w:t>
        <w:br/>
        <w:t xml:space="preserve">Ausweitung der Regierungsmacht</w:t>
        <w:br/>
        <w:t xml:space="preserve">auszuarbeiten.</w:t>
        <w:br/>
        <w:t xml:space="preserve">Als Resultat durften zum ersten</w:t>
        <w:br/>
        <w:t xml:space="preserve">Mal in der Geschichte der USA</w:t>
        <w:br/>
        <w:t xml:space="preserve">Häftlinge psychisch und physisch</w:t>
        <w:br/>
        <w:t xml:space="preserve">gefoltert werden. „Terrorverdächtige“</w:t>
        <w:br/>
        <w:t xml:space="preserve">wurden entführt</w:t>
        <w:br/>
        <w:t xml:space="preserve">und ohne Erhebung einer Anklage</w:t>
        <w:br/>
        <w:t xml:space="preserve">auf unbestimmte Zeit</w:t>
        <w:br/>
        <w:t xml:space="preserve">festgehalten (nicht nur in</w:t>
        <w:br/>
        <w:t xml:space="preserve">Guantanamo*), ohne Kontakt</w:t>
        <w:br/>
        <w:t xml:space="preserve">zu ihren Familien, Rechtsanwälten</w:t>
        <w:br/>
        <w:t xml:space="preserve">oder internationalen Organisationen</w:t>
        <w:br/>
        <w:t xml:space="preserve">wie dem Roten</w:t>
        <w:br/>
        <w:t xml:space="preserve">Kreuz.“ Ungeschminkt zeigt</w:t>
        <w:br/>
        <w:t xml:space="preserve">sich hier einmal mehr das wahre</w:t>
        <w:br/>
        <w:t xml:space="preserve">Gesicht der US-Regierung:</w:t>
        <w:br/>
        <w:t xml:space="preserve">Vordergründig spielt sie sich</w:t>
        <w:br/>
        <w:t xml:space="preserve">als weltweiter Bekämpfer von</w:t>
        <w:br/>
        <w:t xml:space="preserve">Folter und Menschenrechtsverletzungen</w:t>
        <w:br/>
        <w:t xml:space="preserve">auf, und hintenherum</w:t>
        <w:br/>
        <w:t xml:space="preserve">erarbeitet sie für sich die</w:t>
        <w:br/>
        <w:t xml:space="preserve">juristische Legitimation derselben.</w:t>
        <w:br/>
        <w:t xml:space="preserve">Wie gut, dass diese Maske</w:t>
        <w:br/>
        <w:t xml:space="preserve">nun überall zu bröckeln beginnt.</w:t>
        <w:br/>
        <w:t xml:space="preserve">*Neben Guantanamo und Bagram</w:t>
        <w:br/>
        <w:t xml:space="preserve">halten die USA in weiteren Internierungslagern</w:t>
        <w:br/>
        <w:t xml:space="preserve">und sogenannten</w:t>
        <w:br/>
        <w:t xml:space="preserve">„Black sites“, geheimen Gefängnissen,</w:t>
        <w:br/>
        <w:t xml:space="preserve">weitere „Terrorverdächtige“</w:t>
        <w:br/>
        <w:t xml:space="preserve">gefangen.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Zitat aus dem Buch von I. Trojanow &amp;amp; J. Zeh: Angriff auf die Freiheit“, 2009, S. 107 </w:t>
        <w:rPr>
          <w:sz w:val="18"/>
        </w:rPr>
      </w:r>
      <w:hyperlink w:history="true" r:id="rId21">
        <w:r w:rsidRPr="00F24C6F">
          <w:rPr>
            <w:rStyle w:val="Hyperlink"/>
          </w:rPr>
          <w:rPr>
            <w:sz w:val="18"/>
          </w:rPr>
          <w:t>http://www.theguardian.com/world/2007/jan/03/guantanamo.usa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US-Regierung verletzt Menschenrechte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guardian.com/world/2007/jan/03/guantanamo.us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US-Regierung verletzt Menschenrechte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