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35233a77b0445de" /><Relationship Type="http://schemas.openxmlformats.org/package/2006/relationships/metadata/core-properties" Target="/package/services/metadata/core-properties/246db4805ba04eee85ab2f4f95bbc824.psmdcp" Id="R32c42748307341b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Afgangur réttvísinnar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Í aprílbyrjun 2020 tók gildi í Thüringen reglugerð sem bannaði samveru með fleiri en einum einstaklingi utan heimilis. Stuttu síðar dæmdi borgin Weimar mann til sektargreiðslu sem braut gegn þessu nálgunar Covid-banni og hélt upp á afmæli með sjö vinum. Maðurinn tók þetta fyrir dómstóla og var sýknaður 11. janúar 2021 af dómara við héraðsdóm Weimar.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Í aprílbyrjun 2020 tók gildi í Thüringen reglugerð sem bannaði samveru með fleiri en einum einstaklingi utan heimilis. Stuttu síðar dæmdi borgin Weimar mann til sektargreiðslu sem braut gegn þessu nálgunar Covid-banni og hélt upp á afmæli með sjö vinum. Maðurinn tók þetta fyrir dómstóla og var sýknaður 11. janúar 2021 af dómara við héraðsdóm Weimar. </w:t>
        <w:br/>
        <w:t xml:space="preserve"/>
        <w:br/>
        <w:t xml:space="preserve">Í dómsúrskurði tilkynnti dómstóllinn að þegar um sé að ræða tilskipanir sem ekki hafa verið samþykktar af sambandsþinginu eða fylkisþingi, geti hver dómstóll úrskurðað sjálfur um stjórnarskrána. Í rökstuðningi dómsins bar dómarinn vitni um reglugerð ríkisins væri stjórnarskrárbrot, þar sem nægjanlega heimild skorti svo fylkið þyrfti að beygja sig fyrir lagasetningunni. </w:t>
        <w:br/>
        <w:t xml:space="preserve"/>
        <w:br/>
        <w:t xml:space="preserve">Annað var að bann við snertingu brýtur í bága við mannlega reisn sem tryggð er í 1. grein stjórnarskrárinnar. „Stjórnarskrá, 1. grein 1. mgr.: „Mannleg reisn er friðhelg. Að virða hana og vernda er skylda alls ríkisvalds.“  Slíkt bann við snertingu er aðeins samrýmanlegt mannlegri reisn ef neyðarástand skapast þar sem heilbrigðiskerfinu ógnar hrun. Svo er ekki. Við tökum að ofan fyrir réttvísinni sem sinnir verkefni sínu af samviskusemi.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r w:rsidRPr="002B28C8">
        <w:t xml:space="preserve">Óháður afgangur réttvísinnar:</w:t>
        <w:rPr>
          <w:sz w:val="18"/>
        </w:rPr>
      </w:r>
      <w:r w:rsidR="0026191C">
        <w:rPr/>
        <w:br/>
      </w:r>
      <w:hyperlink w:history="true" r:id="rId21">
        <w:r w:rsidRPr="00F24C6F">
          <w:rPr>
            <w:rStyle w:val="Hyperlink"/>
          </w:rPr>
          <w:rPr>
            <w:sz w:val="18"/>
          </w:rPr>
          <w:t>www.mdr.de/thueringen/mitte-west-thueringen/weimar/corona-kontaktverbot-verfassungswidrig-amtsgericht-100.html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Afgangur réttvísinnar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www.kla.tv/18981</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11.06.2021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dr.de/thueringen/mitte-west-thueringen/weimar/corona-kontaktverbot-verfassungswidrig-amtsgericht-100.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981"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9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Afgangur réttvísinnar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