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393d21f3b2447a" /><Relationship Type="http://schemas.openxmlformats.org/package/2006/relationships/metadata/core-properties" Target="/package/services/metadata/core-properties/5acb078fde3c45618b591df34762c8bc.psmdcp" Id="Rc89cdd1431a149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Wer trägt die Verantwortung für das [...]Massaker von Hula?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Etwa zur gleichen Stunde, alsder syrische Botschafter in Berlin zur "persona non grata" [nicht (mehr) gern gesehene Person] erklärt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Etwa zur gleichen Stunde, als</w:t>
        <w:br/>
        <w:t xml:space="preserve">der syrische Botschafter in</w:t>
        <w:br/>
        <w:t xml:space="preserve">Berlin zur „persona non grata“</w:t>
        <w:br/>
        <w:t xml:space="preserve">[„nicht (mehr) gern gesehene</w:t>
        <w:br/>
        <w:t xml:space="preserve">Person“] erklärt wurde1, weil</w:t>
        <w:br/>
        <w:t xml:space="preserve">seine Regierung „Verantwortung“</w:t>
        <w:br/>
        <w:t xml:space="preserve">für das Massaker von</w:t>
        <w:br/>
        <w:t xml:space="preserve">Hula trage, trat Rupert</w:t>
        <w:br/>
        <w:t xml:space="preserve">Colville, Sprecher des UNKommissariats</w:t>
        <w:br/>
        <w:t xml:space="preserve">für Menschenrechte,</w:t>
        <w:br/>
        <w:t xml:space="preserve">in Genf vor die Presse.</w:t>
        <w:br/>
        <w:t xml:space="preserve">Die meisten Opfer des</w:t>
        <w:br/>
        <w:t xml:space="preserve">Massakers seien „aus</w:t>
        <w:br/>
        <w:t xml:space="preserve">nächster Nähe“ ermordet</w:t>
        <w:br/>
        <w:t xml:space="preserve">worden, sagte Colville über</w:t>
        <w:br/>
        <w:t xml:space="preserve">das Geschehen in Hula. Es</w:t>
        <w:br/>
        <w:t xml:space="preserve">habe „Massenexekutionen an</w:t>
        <w:br/>
        <w:t xml:space="preserve">zwei verschiedenen Orten“</w:t>
        <w:br/>
        <w:t xml:space="preserve">gegeben. Alles deute darauf</w:t>
        <w:br/>
        <w:t xml:space="preserve">hin, dass „ganze Familien in</w:t>
        <w:br/>
        <w:t xml:space="preserve">ihren Häusern erschossen</w:t>
        <w:br/>
        <w:t xml:space="preserve">wurden“. Weniger als zwanzig</w:t>
        <w:br/>
        <w:t xml:space="preserve">Personen seien durch</w:t>
        <w:br/>
        <w:t xml:space="preserve">Artilleriebeschuss (der Armee,</w:t>
        <w:br/>
        <w:t xml:space="preserve">Anm. der Autorin) getötet</w:t>
        <w:br/>
        <w:t xml:space="preserve">worden. Weder Colville noch</w:t>
        <w:br/>
        <w:t xml:space="preserve">der militärische Leiter der</w:t>
        <w:br/>
        <w:t xml:space="preserve">UN-Beobachtermission in</w:t>
        <w:br/>
        <w:t xml:space="preserve">Syrien, General Robert Mood,</w:t>
        <w:br/>
        <w:t xml:space="preserve">beschuldigten bisher die syrische</w:t>
        <w:br/>
        <w:t xml:space="preserve">Führung, die Morde</w:t>
        <w:br/>
        <w:t xml:space="preserve">begangen oder gar in Auftrag</w:t>
        <w:br/>
        <w:t xml:space="preserve">gegeben zu haben. Sowohl</w:t>
        <w:br/>
        <w:t xml:space="preserve">die UN als auch die syrische</w:t>
        <w:br/>
        <w:t xml:space="preserve">Regierung haben Untersuchungen</w:t>
        <w:br/>
        <w:t xml:space="preserve">eingeleitet.</w:t>
        <w:br/>
        <w:t xml:space="preserve">1 Anm. der Red.: übrigens in</w:t>
        <w:br/>
        <w:t xml:space="preserve">bester Gesellschaft mit Günter</w:t>
        <w:br/>
        <w:t xml:space="preserve">Grass, dem diese „Auszeichnung“</w:t>
        <w:br/>
        <w:t xml:space="preserve">seitens Israels auch zuteil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http://www.hintergrund.de/201205302080/politik/welt/syrien-wer-traegt-die-verantwortung-fuer-das-massaker-von-hula.html</w:t>
        </w:r>
      </w:hyperlink>
      <w:r w:rsidR="0026191C">
        <w:rPr/>
        <w:br/>
      </w:r>
      <w:hyperlink w:history="true" r:id="rId22">
        <w:r w:rsidRPr="00F24C6F">
          <w:rPr>
            <w:rStyle w:val="Hyperlink"/>
          </w:rPr>
          <w:rPr>
            <w:sz w:val="18"/>
          </w:rPr>
          <w:t>http://www.shortnews.de/id/953542/israel-erklaert-guenter-grass-zur-persona-non-grata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Wer trägt die Verantwortung für das [...]Massaker von Hula?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intergrund.de/201205302080/politik/welt/syrien-wer-traegt-die-verantwortung-fuer-das-massaker-von-hula.html" TargetMode="External" Id="rId21" /><Relationship Type="http://schemas.openxmlformats.org/officeDocument/2006/relationships/hyperlink" Target="http://www.shortnews.de/id/953542/israel-erklaert-guenter-grass-zur-persona-non-grata"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Wer trägt die Verantwortung für das [...]Massaker von Hula?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