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c32e07a454f63" /><Relationship Type="http://schemas.openxmlformats.org/package/2006/relationships/metadata/core-properties" Target="/package/services/metadata/core-properties/599dd640b12e48ba9d983e228f5765e5.psmdcp" Id="Rf3bcd0539886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Einreiseverbot für Historiker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Ausländerbehörde der Landeshauptstadt München hat am 1. März 2012 das von ihr 1993 verhängte unbefristete Einreiseverbot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Ausländerbehörde der</w:t>
        <w:br/>
        <w:t xml:space="preserve">Landeshauptstadt München hat</w:t>
        <w:br/>
        <w:t xml:space="preserve">am 1. März 2012 das von ihr</w:t>
        <w:br/>
        <w:t xml:space="preserve">1993 verhängte unbefristete Einreiseverbot</w:t>
        <w:br/>
        <w:t xml:space="preserve">für den englischen</w:t>
        <w:br/>
        <w:t xml:space="preserve">Historiker David Irving (74 J.)</w:t>
        <w:br/>
        <w:t xml:space="preserve">auf Antrag von dessen Rechtsanwalt</w:t>
        <w:br/>
        <w:t xml:space="preserve">aufgehoben und die Befristung</w:t>
        <w:br/>
        <w:t xml:space="preserve">auf den 1. März 2022 datiert.</w:t>
        <w:br/>
        <w:t xml:space="preserve">In der Begründung heißt es:</w:t>
        <w:br/>
        <w:t xml:space="preserve">„Vorliegend ist davon auszugehen,</w:t>
        <w:br/>
        <w:t xml:space="preserve">dass Sie (Irving) unter dem</w:t>
        <w:br/>
        <w:t xml:space="preserve">Deckmantel der Forschungsund</w:t>
        <w:br/>
        <w:t xml:space="preserve">Meinungsfreiheit weitere Recherchen</w:t>
        <w:br/>
        <w:t xml:space="preserve">im Bundesarchiv bzw.</w:t>
        <w:br/>
        <w:t xml:space="preserve">Institut für Zeitgeschichte tätigen</w:t>
        <w:br/>
        <w:t xml:space="preserve">werden, um dies dann für Ihre</w:t>
        <w:br/>
        <w:t xml:space="preserve">revisionistische, schriftstellerische</w:t>
        <w:br/>
        <w:t xml:space="preserve">Tätigkeit sowie entsprechende</w:t>
        <w:br/>
        <w:t xml:space="preserve">Äußerungen zu verwenden.“</w:t>
        <w:br/>
        <w:t xml:space="preserve">Warum erlässt eine</w:t>
        <w:br/>
        <w:t xml:space="preserve">Ausländerbehörde ein 29-jähriges</w:t>
        <w:br/>
        <w:t xml:space="preserve">Einreiseverbot für einen</w:t>
        <w:br/>
        <w:t xml:space="preserve">Historiker, der nichts anderes tut,</w:t>
        <w:br/>
        <w:t xml:space="preserve">als seinem Beruf nachzugehen?</w:t>
        <w:br/>
        <w:t xml:space="preserve">Hat man Angst davor, dass der</w:t>
        <w:br/>
        <w:t xml:space="preserve">Mann belastende Beweise entdecken</w:t>
        <w:br/>
        <w:t xml:space="preserve">könnte, die die Geschehnisse</w:t>
        <w:br/>
        <w:t xml:space="preserve">rund um den 2. Weltkrieg</w:t>
        <w:br/>
        <w:t xml:space="preserve">in einem ganz anderen Bild erscheinen</w:t>
        <w:br/>
        <w:t xml:space="preserve">lassen, als wir es in der</w:t>
        <w:br/>
        <w:t xml:space="preserve">Schule gelernt haben und uns die</w:t>
        <w:br/>
        <w:t xml:space="preserve">offizielle Geschichtsschreibung</w:t>
        <w:br/>
        <w:t xml:space="preserve">zu glauben befiehlt?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National Zeitung vom 16.03.2012, „Deutschland in Geschichte und Gegenwart“, 60. Jahrgang, Nr. 2, Juli 2012, Seite 56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Einreiseverbot für Historiker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Einreiseverbot für Historiker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